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626C" w14:textId="05E7300E" w:rsidR="002573D5" w:rsidRPr="00F44C72" w:rsidRDefault="001A52F5" w:rsidP="002605D2">
      <w:pPr>
        <w:pStyle w:val="Nadpis10"/>
        <w:numPr>
          <w:ilvl w:val="0"/>
          <w:numId w:val="0"/>
        </w:numPr>
        <w:tabs>
          <w:tab w:val="left" w:pos="709"/>
        </w:tabs>
        <w:ind w:left="432" w:hanging="432"/>
        <w:jc w:val="center"/>
        <w:rPr>
          <w:rFonts w:ascii="Cambria" w:hAnsi="Cambria"/>
        </w:rPr>
      </w:pP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="004733B5" w:rsidRPr="00F44C72">
        <w:rPr>
          <w:rFonts w:ascii="Cambria" w:hAnsi="Cambria"/>
        </w:rPr>
        <w:tab/>
      </w:r>
      <w:r w:rsidR="004733B5" w:rsidRPr="00F44C72">
        <w:rPr>
          <w:rFonts w:ascii="Cambria" w:hAnsi="Cambria"/>
        </w:rPr>
        <w:tab/>
      </w:r>
      <w:r w:rsidR="004733B5" w:rsidRPr="00F44C72">
        <w:rPr>
          <w:rFonts w:ascii="Cambria" w:hAnsi="Cambria"/>
        </w:rPr>
        <w:tab/>
      </w:r>
      <w:bookmarkStart w:id="0" w:name="_Toc196832678"/>
      <w:bookmarkStart w:id="1" w:name="_Toc196834327"/>
      <w:bookmarkStart w:id="2" w:name="_Toc196834809"/>
      <w:bookmarkStart w:id="3" w:name="_Toc197342348"/>
      <w:bookmarkStart w:id="4" w:name="_Toc197342381"/>
      <w:bookmarkStart w:id="5" w:name="_Toc197342711"/>
      <w:bookmarkStart w:id="6" w:name="_Toc197343326"/>
      <w:bookmarkStart w:id="7" w:name="_Toc197345058"/>
      <w:bookmarkStart w:id="8" w:name="_Toc197345726"/>
      <w:r w:rsidR="00895C8C" w:rsidRPr="00F44C72">
        <w:rPr>
          <w:rFonts w:ascii="Cambria" w:hAnsi="Cambria"/>
        </w:rPr>
        <w:tab/>
      </w:r>
      <w:r w:rsidR="00895C8C" w:rsidRPr="00F44C72">
        <w:rPr>
          <w:rFonts w:ascii="Cambria" w:hAnsi="Cambria"/>
        </w:rPr>
        <w:tab/>
      </w:r>
      <w:r w:rsidR="00895C8C" w:rsidRPr="00F44C72">
        <w:rPr>
          <w:rFonts w:ascii="Cambria" w:hAnsi="Cambria"/>
        </w:rPr>
        <w:tab/>
      </w:r>
      <w:bookmarkStart w:id="9" w:name="_Toc197347693"/>
      <w:bookmarkStart w:id="10" w:name="_Toc197347712"/>
      <w:bookmarkStart w:id="11" w:name="_Toc197347735"/>
      <w:r w:rsidR="002605D2" w:rsidRPr="00F44C72">
        <w:rPr>
          <w:rFonts w:ascii="Cambria" w:hAnsi="Cambria"/>
        </w:rPr>
        <w:t xml:space="preserve">Technická specifikace – Část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C97DE4" w:rsidRPr="00F44C72">
        <w:rPr>
          <w:rFonts w:ascii="Cambria" w:hAnsi="Cambria"/>
        </w:rPr>
        <w:t xml:space="preserve">7 Aktivita 1 </w:t>
      </w:r>
      <w:bookmarkEnd w:id="8"/>
      <w:r w:rsidR="00C97DE4" w:rsidRPr="00F44C72">
        <w:rPr>
          <w:rFonts w:ascii="Cambria" w:hAnsi="Cambria"/>
        </w:rPr>
        <w:tab/>
      </w:r>
      <w:r w:rsidR="00C97DE4" w:rsidRPr="00F44C72">
        <w:rPr>
          <w:rFonts w:ascii="Cambria" w:hAnsi="Cambria"/>
        </w:rPr>
        <w:tab/>
      </w:r>
      <w:r w:rsidR="00C97DE4" w:rsidRPr="00F44C72">
        <w:rPr>
          <w:rFonts w:ascii="Cambria" w:hAnsi="Cambria"/>
        </w:rPr>
        <w:tab/>
        <w:t xml:space="preserve">Risk </w:t>
      </w:r>
      <w:proofErr w:type="spellStart"/>
      <w:r w:rsidR="00C97DE4" w:rsidRPr="00F44C72">
        <w:rPr>
          <w:rFonts w:ascii="Cambria" w:hAnsi="Cambria"/>
        </w:rPr>
        <w:t>Asset</w:t>
      </w:r>
      <w:proofErr w:type="spellEnd"/>
      <w:r w:rsidR="00C97DE4" w:rsidRPr="00F44C72">
        <w:rPr>
          <w:rFonts w:ascii="Cambria" w:hAnsi="Cambria"/>
        </w:rPr>
        <w:t xml:space="preserve"> Management</w:t>
      </w:r>
      <w:bookmarkEnd w:id="9"/>
      <w:bookmarkEnd w:id="10"/>
      <w:bookmarkEnd w:id="11"/>
    </w:p>
    <w:sdt>
      <w:sdtPr>
        <w:rPr>
          <w:rFonts w:ascii="Cambria" w:hAnsi="Cambria"/>
          <w:b w:val="0"/>
          <w:smallCaps w:val="0"/>
          <w:color w:val="auto"/>
          <w:sz w:val="21"/>
          <w:szCs w:val="21"/>
        </w:rPr>
        <w:id w:val="-148446898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4B2CA70" w14:textId="77777777" w:rsidR="00B50C1F" w:rsidRDefault="001A52F5" w:rsidP="009A2442">
          <w:pPr>
            <w:pStyle w:val="Nadpisobsahu"/>
            <w:numPr>
              <w:ilvl w:val="0"/>
              <w:numId w:val="0"/>
            </w:numPr>
            <w:ind w:left="432" w:hanging="432"/>
            <w:rPr>
              <w:noProof/>
            </w:rPr>
          </w:pPr>
          <w:r w:rsidRPr="00F44C72">
            <w:rPr>
              <w:rFonts w:ascii="Cambria" w:hAnsi="Cambria"/>
            </w:rPr>
            <w:t>Obsah</w:t>
          </w:r>
          <w:r w:rsidRPr="00F44C72">
            <w:rPr>
              <w:rFonts w:ascii="Cambria" w:hAnsi="Cambria"/>
              <w:b w:val="0"/>
            </w:rPr>
            <w:fldChar w:fldCharType="begin"/>
          </w:r>
          <w:r w:rsidRPr="00F44C72">
            <w:rPr>
              <w:rFonts w:ascii="Cambria" w:hAnsi="Cambria"/>
            </w:rPr>
            <w:instrText xml:space="preserve"> TOC \o "1-3" \h \z \u </w:instrText>
          </w:r>
          <w:r w:rsidRPr="00F44C72">
            <w:rPr>
              <w:rFonts w:ascii="Cambria" w:hAnsi="Cambria"/>
              <w:b w:val="0"/>
            </w:rPr>
            <w:fldChar w:fldCharType="separate"/>
          </w:r>
        </w:p>
        <w:p w14:paraId="6FCFBF16" w14:textId="7FE39A96" w:rsidR="00B50C1F" w:rsidRDefault="00B50C1F">
          <w:pPr>
            <w:pStyle w:val="Obsah1"/>
            <w:tabs>
              <w:tab w:val="left" w:pos="44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7736" w:history="1">
            <w:r w:rsidRPr="006323DF">
              <w:rPr>
                <w:rStyle w:val="Hypertextovodkaz"/>
                <w:rFonts w:ascii="Cambria" w:hAnsi="Cambria"/>
                <w:noProof/>
              </w:rPr>
              <w:t>1)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6323DF">
              <w:rPr>
                <w:rStyle w:val="Hypertextovodkaz"/>
                <w:rFonts w:ascii="Cambria" w:hAnsi="Cambria"/>
                <w:noProof/>
              </w:rPr>
              <w:t>Popis požadavků na řešení a specifické funkcionality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_Toc197347736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E2AA67" w14:textId="61E3A537" w:rsidR="00B50C1F" w:rsidRDefault="00B50C1F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7737" w:history="1">
            <w:r w:rsidRPr="006323DF">
              <w:rPr>
                <w:rStyle w:val="Hypertextovodkaz"/>
                <w:rFonts w:ascii="Cambria" w:hAnsi="Cambria"/>
                <w:noProof/>
              </w:rPr>
              <w:t>Vlastnosti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_Toc197347737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AFEB31" w14:textId="5E20887B" w:rsidR="00B50C1F" w:rsidRDefault="00B50C1F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7738" w:history="1">
            <w:r w:rsidRPr="006323DF">
              <w:rPr>
                <w:rStyle w:val="Hypertextovodkaz"/>
                <w:rFonts w:ascii="Cambria" w:hAnsi="Cambria"/>
                <w:noProof/>
              </w:rPr>
              <w:t>požadované Technické parametry a funkcionality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_Toc197347738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6BDA5" w14:textId="70B2E57C" w:rsidR="001A52F5" w:rsidRPr="00F44C72" w:rsidRDefault="001A52F5">
          <w:pPr>
            <w:rPr>
              <w:rFonts w:ascii="Cambria" w:hAnsi="Cambria"/>
            </w:rPr>
          </w:pPr>
          <w:r w:rsidRPr="00F44C72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77BE5AB5" w14:textId="77777777" w:rsidR="00853272" w:rsidRPr="00F44C72" w:rsidRDefault="00853272" w:rsidP="00623F76">
      <w:pPr>
        <w:numPr>
          <w:ilvl w:val="1"/>
          <w:numId w:val="33"/>
        </w:numPr>
        <w:spacing w:before="120" w:after="120"/>
        <w:rPr>
          <w:rFonts w:ascii="Cambria" w:hAnsi="Cambria"/>
          <w:lang w:val="en-GB"/>
        </w:rPr>
      </w:pPr>
    </w:p>
    <w:p w14:paraId="21FA3687" w14:textId="77777777" w:rsidR="000C6DE5" w:rsidRPr="00F44C72" w:rsidRDefault="000C6DE5" w:rsidP="000C6DE5">
      <w:pPr>
        <w:rPr>
          <w:rFonts w:ascii="Cambria" w:hAnsi="Cambria"/>
          <w:lang w:val="en-GB"/>
        </w:rPr>
      </w:pPr>
    </w:p>
    <w:p w14:paraId="0CDA03AE" w14:textId="77777777" w:rsidR="000C6DE5" w:rsidRPr="00F44C72" w:rsidRDefault="000C6DE5" w:rsidP="000C6DE5">
      <w:pPr>
        <w:jc w:val="center"/>
        <w:rPr>
          <w:rFonts w:ascii="Cambria" w:hAnsi="Cambria"/>
          <w:lang w:val="en-GB"/>
        </w:rPr>
      </w:pPr>
    </w:p>
    <w:p w14:paraId="5CAAD075" w14:textId="622F7DC5" w:rsidR="00853272" w:rsidRPr="00F44C72" w:rsidRDefault="00F13246" w:rsidP="00623F76">
      <w:pPr>
        <w:pStyle w:val="Nadpis10"/>
        <w:numPr>
          <w:ilvl w:val="0"/>
          <w:numId w:val="34"/>
        </w:numPr>
        <w:rPr>
          <w:rFonts w:ascii="Cambria" w:hAnsi="Cambria"/>
        </w:rPr>
      </w:pPr>
      <w:bookmarkStart w:id="12" w:name="_Toc197347736"/>
      <w:r w:rsidRPr="00F44C72">
        <w:rPr>
          <w:rFonts w:ascii="Cambria" w:hAnsi="Cambria"/>
        </w:rPr>
        <w:t>Popis</w:t>
      </w:r>
      <w:r w:rsidR="00AB420E" w:rsidRPr="00F44C72">
        <w:rPr>
          <w:rFonts w:ascii="Cambria" w:hAnsi="Cambria"/>
        </w:rPr>
        <w:t xml:space="preserve"> </w:t>
      </w:r>
      <w:r w:rsidRPr="00F44C72">
        <w:rPr>
          <w:rFonts w:ascii="Cambria" w:hAnsi="Cambria"/>
        </w:rPr>
        <w:t xml:space="preserve">požadavků na </w:t>
      </w:r>
      <w:r w:rsidR="00C31795" w:rsidRPr="00F44C72">
        <w:rPr>
          <w:rFonts w:ascii="Cambria" w:hAnsi="Cambria"/>
        </w:rPr>
        <w:t>řešení</w:t>
      </w:r>
      <w:r w:rsidR="00320996" w:rsidRPr="00F44C72">
        <w:rPr>
          <w:rFonts w:ascii="Cambria" w:hAnsi="Cambria"/>
        </w:rPr>
        <w:t xml:space="preserve"> a specifické funkcionality</w:t>
      </w:r>
      <w:r w:rsidR="009E3C4F" w:rsidRPr="00F44C72">
        <w:rPr>
          <w:rFonts w:ascii="Cambria" w:hAnsi="Cambria"/>
        </w:rPr>
        <w:t xml:space="preserve"> systému</w:t>
      </w:r>
      <w:bookmarkEnd w:id="12"/>
    </w:p>
    <w:p w14:paraId="43A50F1B" w14:textId="5D737BB3" w:rsidR="00662CF4" w:rsidRPr="00F44C72" w:rsidRDefault="00662CF4" w:rsidP="00B71536">
      <w:pPr>
        <w:pStyle w:val="Nadpis2"/>
        <w:rPr>
          <w:rFonts w:ascii="Cambria" w:hAnsi="Cambria"/>
        </w:rPr>
      </w:pPr>
    </w:p>
    <w:p w14:paraId="62927F24" w14:textId="1F77FF1B" w:rsidR="00CC4622" w:rsidRPr="00F44C72" w:rsidRDefault="00CC4622" w:rsidP="00CC4622">
      <w:pPr>
        <w:rPr>
          <w:rFonts w:ascii="Cambria" w:hAnsi="Cambria" w:cstheme="minorHAnsi"/>
          <w:sz w:val="22"/>
          <w:szCs w:val="22"/>
        </w:rPr>
      </w:pPr>
      <w:r w:rsidRPr="00F44C72">
        <w:rPr>
          <w:rFonts w:ascii="Cambria" w:hAnsi="Cambria" w:cstheme="minorHAnsi"/>
          <w:sz w:val="22"/>
          <w:szCs w:val="22"/>
        </w:rPr>
        <w:t>Předmětem plnění této aktivity Části 7 veřejné zakázky je dodávka a implementace informačního systému umožňující organizaci zavést efektivní správu a technickou evidenci veškerého počítačového i ostatního majetku. Musí pomáhat pracovníkům ICT oddělení v řešení a zdokumentování každodenních operativních úkolů a ve sdílení a údržbě informací spojených s IT infrastrukturou. Musí poskytovat důležité informace pro plánování obnovy IT prostředků a přípravu rozpočtů a musí pomáhat v řízení podnikatelských rizik právního či regulačního postihu spojených s užívání</w:t>
      </w:r>
      <w:r w:rsidRPr="00F44C72">
        <w:rPr>
          <w:rFonts w:ascii="Cambria" w:hAnsi="Cambria" w:cstheme="minorHAnsi"/>
        </w:rPr>
        <w:t>m</w:t>
      </w:r>
      <w:r w:rsidRPr="00F44C72">
        <w:rPr>
          <w:rFonts w:ascii="Cambria" w:hAnsi="Cambria" w:cstheme="minorHAnsi"/>
          <w:sz w:val="22"/>
          <w:szCs w:val="22"/>
        </w:rPr>
        <w:t xml:space="preserve"> nelegálního software ve společnosti</w:t>
      </w:r>
      <w:r w:rsidRPr="00F44C72">
        <w:rPr>
          <w:rFonts w:ascii="Cambria" w:hAnsi="Cambria" w:cstheme="minorHAnsi"/>
        </w:rPr>
        <w:t>.</w:t>
      </w:r>
    </w:p>
    <w:p w14:paraId="29247906" w14:textId="77777777" w:rsidR="00CC4622" w:rsidRPr="00F44C72" w:rsidRDefault="00CC4622" w:rsidP="00CC4622">
      <w:pPr>
        <w:rPr>
          <w:rFonts w:ascii="Cambria" w:hAnsi="Cambria" w:cstheme="minorHAnsi"/>
          <w:sz w:val="22"/>
          <w:szCs w:val="22"/>
        </w:rPr>
      </w:pPr>
      <w:r w:rsidRPr="00F44C72">
        <w:rPr>
          <w:rFonts w:ascii="Cambria" w:hAnsi="Cambria" w:cstheme="minorHAnsi"/>
          <w:sz w:val="22"/>
          <w:szCs w:val="22"/>
        </w:rPr>
        <w:t>Obecné požadavky</w:t>
      </w:r>
    </w:p>
    <w:p w14:paraId="7743B22B" w14:textId="77777777" w:rsidR="00CC4622" w:rsidRPr="00F44C72" w:rsidRDefault="00CC4622" w:rsidP="00623F76">
      <w:pPr>
        <w:pStyle w:val="Odstavecseseznamem"/>
        <w:numPr>
          <w:ilvl w:val="0"/>
          <w:numId w:val="35"/>
        </w:numPr>
        <w:suppressAutoHyphens/>
        <w:spacing w:before="0" w:after="160"/>
        <w:rPr>
          <w:rFonts w:ascii="Cambria" w:hAnsi="Cambria" w:cstheme="minorHAnsi"/>
          <w:sz w:val="22"/>
          <w:szCs w:val="22"/>
        </w:rPr>
      </w:pPr>
      <w:r w:rsidRPr="00F44C72">
        <w:rPr>
          <w:rFonts w:ascii="Cambria" w:hAnsi="Cambria" w:cstheme="minorHAnsi"/>
          <w:sz w:val="22"/>
          <w:szCs w:val="22"/>
        </w:rPr>
        <w:t xml:space="preserve">Zadavatel požaduje možnost volby provozovat celé řešení jako </w:t>
      </w:r>
      <w:proofErr w:type="spellStart"/>
      <w:r w:rsidRPr="00F44C72">
        <w:rPr>
          <w:rFonts w:ascii="Cambria" w:hAnsi="Cambria" w:cstheme="minorHAnsi"/>
          <w:sz w:val="22"/>
          <w:szCs w:val="22"/>
        </w:rPr>
        <w:t>SaaS</w:t>
      </w:r>
      <w:proofErr w:type="spellEnd"/>
      <w:r w:rsidRPr="00F44C72">
        <w:rPr>
          <w:rFonts w:ascii="Cambria" w:hAnsi="Cambria" w:cstheme="minorHAnsi"/>
          <w:sz w:val="22"/>
          <w:szCs w:val="22"/>
        </w:rPr>
        <w:t xml:space="preserve"> nebo on-premise, případně v budoucnu změnit své původní rozhodnutí (aplikace musí být stejná pro prostředí </w:t>
      </w:r>
      <w:proofErr w:type="spellStart"/>
      <w:r w:rsidRPr="00F44C72">
        <w:rPr>
          <w:rFonts w:ascii="Cambria" w:hAnsi="Cambria" w:cstheme="minorHAnsi"/>
          <w:sz w:val="22"/>
          <w:szCs w:val="22"/>
        </w:rPr>
        <w:t>SaaS</w:t>
      </w:r>
      <w:proofErr w:type="spellEnd"/>
      <w:r w:rsidRPr="00F44C72">
        <w:rPr>
          <w:rFonts w:ascii="Cambria" w:hAnsi="Cambria" w:cstheme="minorHAnsi"/>
          <w:sz w:val="22"/>
          <w:szCs w:val="22"/>
        </w:rPr>
        <w:t xml:space="preserve"> i on-premise)</w:t>
      </w:r>
    </w:p>
    <w:p w14:paraId="7B171766" w14:textId="77777777" w:rsidR="00CC4622" w:rsidRPr="00F44C72" w:rsidRDefault="00CC4622" w:rsidP="00623F76">
      <w:pPr>
        <w:pStyle w:val="Odstavecseseznamem"/>
        <w:numPr>
          <w:ilvl w:val="0"/>
          <w:numId w:val="35"/>
        </w:numPr>
        <w:suppressAutoHyphens/>
        <w:spacing w:before="0" w:after="160"/>
        <w:rPr>
          <w:rFonts w:ascii="Cambria" w:hAnsi="Cambria" w:cstheme="minorHAnsi"/>
          <w:sz w:val="22"/>
          <w:szCs w:val="22"/>
        </w:rPr>
      </w:pPr>
      <w:r w:rsidRPr="00F44C72">
        <w:rPr>
          <w:rFonts w:ascii="Cambria" w:hAnsi="Cambria" w:cstheme="minorHAnsi"/>
          <w:sz w:val="22"/>
          <w:szCs w:val="22"/>
        </w:rPr>
        <w:t>Zadavatel požaduje možnost provozovat systém v prostředí MS Azure, systém musí být schválen a certifikován pro provozování v tomto prostředí.</w:t>
      </w:r>
    </w:p>
    <w:p w14:paraId="3FE9A6F4" w14:textId="77777777" w:rsidR="00CC4622" w:rsidRPr="00F44C72" w:rsidRDefault="00CC4622" w:rsidP="00623F76">
      <w:pPr>
        <w:pStyle w:val="Odstavecseseznamem"/>
        <w:numPr>
          <w:ilvl w:val="0"/>
          <w:numId w:val="35"/>
        </w:numPr>
        <w:suppressAutoHyphens/>
        <w:spacing w:before="0" w:after="160"/>
        <w:rPr>
          <w:rFonts w:ascii="Cambria" w:hAnsi="Cambria" w:cstheme="minorHAnsi"/>
          <w:sz w:val="22"/>
          <w:szCs w:val="22"/>
        </w:rPr>
      </w:pPr>
      <w:r w:rsidRPr="00F44C72">
        <w:rPr>
          <w:rFonts w:ascii="Cambria" w:hAnsi="Cambria" w:cstheme="minorHAnsi"/>
          <w:sz w:val="22"/>
          <w:szCs w:val="22"/>
        </w:rPr>
        <w:t>Minimálně pro rutinní činnosti (změna umístění objektu, změna vlastností objektu) je požadován webový klient</w:t>
      </w:r>
    </w:p>
    <w:p w14:paraId="01B6C512" w14:textId="77777777" w:rsidR="00CC4622" w:rsidRPr="00F44C72" w:rsidRDefault="00CC4622" w:rsidP="00623F76">
      <w:pPr>
        <w:pStyle w:val="Odstavecseseznamem"/>
        <w:numPr>
          <w:ilvl w:val="0"/>
          <w:numId w:val="35"/>
        </w:numPr>
        <w:suppressAutoHyphens/>
        <w:spacing w:before="0" w:after="160"/>
        <w:rPr>
          <w:rFonts w:ascii="Cambria" w:hAnsi="Cambria" w:cstheme="minorHAnsi"/>
          <w:sz w:val="22"/>
          <w:szCs w:val="22"/>
        </w:rPr>
      </w:pPr>
      <w:r w:rsidRPr="00F44C72">
        <w:rPr>
          <w:rFonts w:ascii="Cambria" w:hAnsi="Cambria" w:cstheme="minorHAnsi"/>
          <w:sz w:val="22"/>
          <w:szCs w:val="22"/>
        </w:rPr>
        <w:t>Pro zobrazení majetku přiděleného uživatelům v organizaci je požadován webový klient</w:t>
      </w:r>
    </w:p>
    <w:p w14:paraId="5BB302A1" w14:textId="77777777" w:rsidR="00CC4622" w:rsidRPr="00F44C72" w:rsidRDefault="00CC4622" w:rsidP="00623F76">
      <w:pPr>
        <w:pStyle w:val="Odstavecseseznamem"/>
        <w:numPr>
          <w:ilvl w:val="0"/>
          <w:numId w:val="35"/>
        </w:numPr>
        <w:suppressAutoHyphens/>
        <w:spacing w:before="0" w:after="160"/>
        <w:rPr>
          <w:rFonts w:ascii="Cambria" w:hAnsi="Cambria" w:cstheme="minorHAnsi"/>
        </w:rPr>
      </w:pPr>
      <w:r w:rsidRPr="00F44C72">
        <w:rPr>
          <w:rFonts w:ascii="Cambria" w:hAnsi="Cambria" w:cstheme="minorHAnsi"/>
          <w:sz w:val="22"/>
          <w:szCs w:val="22"/>
        </w:rPr>
        <w:t>Celé řešení z důvodu bezpečnosti musí být v třívrstvé architektuře bez přímého přístupu klienta do databáze</w:t>
      </w:r>
      <w:r w:rsidRPr="00F44C72">
        <w:rPr>
          <w:rFonts w:ascii="Cambria" w:hAnsi="Cambria" w:cstheme="minorHAnsi"/>
        </w:rPr>
        <w:t>.</w:t>
      </w:r>
    </w:p>
    <w:p w14:paraId="5417487C" w14:textId="2DFF5169" w:rsidR="0079431A" w:rsidRPr="00F44C72" w:rsidRDefault="00CC4622" w:rsidP="0079431A">
      <w:pPr>
        <w:pStyle w:val="Nadpis2"/>
        <w:rPr>
          <w:rFonts w:ascii="Cambria" w:hAnsi="Cambria"/>
        </w:rPr>
      </w:pPr>
      <w:bookmarkStart w:id="13" w:name="_Toc197347737"/>
      <w:r w:rsidRPr="00F44C72">
        <w:rPr>
          <w:rFonts w:ascii="Cambria" w:hAnsi="Cambria"/>
        </w:rPr>
        <w:t>Vlastnosti řešení</w:t>
      </w:r>
      <w:bookmarkEnd w:id="13"/>
    </w:p>
    <w:p w14:paraId="61184744" w14:textId="255CF435" w:rsidR="0079431A" w:rsidRPr="00F44C72" w:rsidRDefault="0079431A" w:rsidP="0079431A">
      <w:pPr>
        <w:rPr>
          <w:rFonts w:ascii="Cambria" w:hAnsi="Cambria"/>
        </w:rPr>
      </w:pPr>
      <w:r w:rsidRPr="00F44C72">
        <w:rPr>
          <w:rFonts w:ascii="Cambria" w:hAnsi="Cambria"/>
        </w:rPr>
        <w:t xml:space="preserve">Systém bude dodán formou stále (tzv. </w:t>
      </w:r>
      <w:proofErr w:type="spellStart"/>
      <w:r w:rsidRPr="00F44C72">
        <w:rPr>
          <w:rFonts w:ascii="Cambria" w:hAnsi="Cambria"/>
        </w:rPr>
        <w:t>perpetual</w:t>
      </w:r>
      <w:proofErr w:type="spellEnd"/>
      <w:r w:rsidRPr="00F44C72">
        <w:rPr>
          <w:rFonts w:ascii="Cambria" w:hAnsi="Cambria"/>
        </w:rPr>
        <w:t>) SW licence pro 500 koncových stanic a 6 administrátorů celkem.</w:t>
      </w:r>
    </w:p>
    <w:p w14:paraId="7B72DCBB" w14:textId="7A116859" w:rsidR="0079431A" w:rsidRPr="00F44C72" w:rsidRDefault="0079431A" w:rsidP="0079431A">
      <w:pPr>
        <w:rPr>
          <w:rFonts w:ascii="Cambria" w:hAnsi="Cambria"/>
        </w:rPr>
      </w:pPr>
      <w:r w:rsidRPr="00F44C72">
        <w:rPr>
          <w:rFonts w:ascii="Cambria" w:hAnsi="Cambria"/>
        </w:rPr>
        <w:t>Součástí dodávky bude podpora od výrobce pro dodávaný SW na dobu 5 let.</w:t>
      </w:r>
    </w:p>
    <w:p w14:paraId="35C95F0E" w14:textId="1946DC42" w:rsidR="0079431A" w:rsidRPr="00F44C72" w:rsidRDefault="0079431A" w:rsidP="0079431A">
      <w:pPr>
        <w:rPr>
          <w:rFonts w:ascii="Cambria" w:hAnsi="Cambria"/>
        </w:rPr>
      </w:pPr>
      <w:r w:rsidRPr="00F44C72">
        <w:rPr>
          <w:rFonts w:ascii="Cambria" w:hAnsi="Cambria"/>
        </w:rPr>
        <w:t xml:space="preserve">Nabízené řešení není v režimu end </w:t>
      </w:r>
      <w:proofErr w:type="spellStart"/>
      <w:r w:rsidRPr="00F44C72">
        <w:rPr>
          <w:rFonts w:ascii="Cambria" w:hAnsi="Cambria"/>
        </w:rPr>
        <w:t>of</w:t>
      </w:r>
      <w:proofErr w:type="spellEnd"/>
      <w:r w:rsidRPr="00F44C72">
        <w:rPr>
          <w:rFonts w:ascii="Cambria" w:hAnsi="Cambria"/>
        </w:rPr>
        <w:t xml:space="preserve"> sales/end </w:t>
      </w:r>
      <w:proofErr w:type="spellStart"/>
      <w:r w:rsidRPr="00F44C72">
        <w:rPr>
          <w:rFonts w:ascii="Cambria" w:hAnsi="Cambria"/>
        </w:rPr>
        <w:t>of</w:t>
      </w:r>
      <w:proofErr w:type="spellEnd"/>
      <w:r w:rsidRPr="00F44C72">
        <w:rPr>
          <w:rFonts w:ascii="Cambria" w:hAnsi="Cambria"/>
        </w:rPr>
        <w:t xml:space="preserve"> support. Všechny požadované funkce budou součástí stabilní verze systému.</w:t>
      </w:r>
    </w:p>
    <w:p w14:paraId="30499A0A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16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b/>
          <w:bCs/>
          <w:lang w:eastAsia="en-US"/>
        </w:rPr>
        <w:t>Zadavatel požaduje</w:t>
      </w:r>
      <w:r w:rsidRPr="00CC4622">
        <w:rPr>
          <w:rFonts w:ascii="Cambria" w:eastAsia="Times New Roman" w:hAnsi="Cambria"/>
          <w:lang w:eastAsia="en-US"/>
        </w:rPr>
        <w:t xml:space="preserve"> dodání software s trvalou licencí pro evidence a automatickou detekci hardware a software pro</w:t>
      </w:r>
      <w:r w:rsidRPr="00CC4622">
        <w:rPr>
          <w:rFonts w:ascii="Cambria" w:eastAsia="Times New Roman" w:hAnsi="Cambria"/>
          <w:b/>
          <w:lang w:eastAsia="en-US"/>
        </w:rPr>
        <w:t xml:space="preserve"> 500</w:t>
      </w:r>
      <w:r w:rsidRPr="00CC4622">
        <w:rPr>
          <w:rFonts w:ascii="Cambria" w:eastAsia="Times New Roman" w:hAnsi="Cambria"/>
          <w:b/>
          <w:i/>
          <w:lang w:eastAsia="en-US"/>
        </w:rPr>
        <w:t xml:space="preserve"> </w:t>
      </w:r>
      <w:r w:rsidRPr="00CC4622">
        <w:rPr>
          <w:rFonts w:ascii="Cambria" w:eastAsia="Times New Roman" w:hAnsi="Cambria"/>
          <w:lang w:eastAsia="en-US"/>
        </w:rPr>
        <w:t>počítačů na platformě MS Windows.</w:t>
      </w:r>
    </w:p>
    <w:p w14:paraId="12A7457B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16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 xml:space="preserve">V rámci této </w:t>
      </w:r>
      <w:r w:rsidRPr="00CC4622">
        <w:rPr>
          <w:rFonts w:ascii="Cambria" w:eastAsia="Times New Roman" w:hAnsi="Cambria"/>
          <w:b/>
          <w:bCs/>
          <w:lang w:eastAsia="en-US"/>
        </w:rPr>
        <w:t>licence musí být umožněno bezplatně evidovat další ICT majetek</w:t>
      </w:r>
      <w:r w:rsidRPr="00CC4622">
        <w:rPr>
          <w:rFonts w:ascii="Cambria" w:eastAsia="Times New Roman" w:hAnsi="Cambria"/>
          <w:lang w:eastAsia="en-US"/>
        </w:rPr>
        <w:t xml:space="preserve"> (telefony, tiskárny apod.) alespoň do </w:t>
      </w:r>
      <w:r w:rsidRPr="00CC4622">
        <w:rPr>
          <w:rFonts w:ascii="Cambria" w:eastAsia="Times New Roman" w:hAnsi="Cambria"/>
          <w:b/>
          <w:lang w:eastAsia="en-US"/>
        </w:rPr>
        <w:t>počtu padesátinásobku počtu objektů vystavené licence.</w:t>
      </w:r>
      <w:r w:rsidRPr="00CC4622">
        <w:rPr>
          <w:rFonts w:ascii="Cambria" w:eastAsia="Times New Roman" w:hAnsi="Cambria"/>
          <w:lang w:eastAsia="en-US"/>
        </w:rPr>
        <w:t xml:space="preserve"> </w:t>
      </w:r>
    </w:p>
    <w:p w14:paraId="36213CFA" w14:textId="77777777" w:rsidR="00CC4622" w:rsidRPr="00CC4622" w:rsidRDefault="00CC4622" w:rsidP="00623F76">
      <w:pPr>
        <w:numPr>
          <w:ilvl w:val="0"/>
          <w:numId w:val="36"/>
        </w:numPr>
        <w:spacing w:before="0" w:after="20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>Podpora evidence libovolného majetku i mimo IT – možnost vytváření vlastních objektů a vlastností k těmto objektům bez nutnosti rozšiřování licence za účelem technické evidence jakéhokoliv majetku úřadu (auta, nábytek, budovy, technika apod.)</w:t>
      </w:r>
    </w:p>
    <w:p w14:paraId="342D0CA0" w14:textId="77777777" w:rsidR="00CC4622" w:rsidRPr="00CC4622" w:rsidRDefault="00CC4622" w:rsidP="00623F76">
      <w:pPr>
        <w:numPr>
          <w:ilvl w:val="0"/>
          <w:numId w:val="36"/>
        </w:numPr>
        <w:spacing w:before="0" w:after="20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>Požadujeme z důvodu zabezpečení informací možnost nastavit práva na zobrazení jednotlivých vlastností objektů. Například některým uživatelům se nebudou zobrazovat údaje o cenách nebo jiné citlivé údaje na objektu.</w:t>
      </w:r>
    </w:p>
    <w:p w14:paraId="3F4A2CBE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16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>Zadavatel požaduje možnost přidávat do produktu libovolné vlastní objekty.</w:t>
      </w:r>
    </w:p>
    <w:p w14:paraId="1BA34DF7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16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>Zadavatel požaduje možnost upravovat a přidávat vlastnosti těchto objektů.</w:t>
      </w:r>
    </w:p>
    <w:p w14:paraId="62F2C782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16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 xml:space="preserve">Zadavatel požaduje možnost definovat konkrétní vlastnost na konkrétním druhu objektu jako povinnou. </w:t>
      </w:r>
    </w:p>
    <w:p w14:paraId="16DCAAB5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16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>Zadavatel požaduje možnost zobrazení majetku svých podřízených.</w:t>
      </w:r>
    </w:p>
    <w:p w14:paraId="2A8DAB7C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16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>Zadavatel požaduje bezpečný přístup k datům, kdy klient aplikace nevyžaduje přímý přístup do databáze.</w:t>
      </w:r>
    </w:p>
    <w:p w14:paraId="17F883B3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16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>Software musí podporovat rychlou orientaci v umístění majetku. Z tohoto důvodu požaduje zadavatel, aby veškerá struktura umístění majetku byla organizována v přehledné graficky zobrazené stromové struktuře. Tuto stromovou strukturu požadujeme volně modifikovat a upravovat.</w:t>
      </w:r>
    </w:p>
    <w:p w14:paraId="33E120BA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16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>Zadavatel požaduje možnost multiselect výběru ve stromové struktuře.</w:t>
      </w:r>
    </w:p>
    <w:p w14:paraId="5EB149F9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16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>Zadavatel požaduje možnost přesunu majetku nebo i části stromu výše uvedené struktury přesunem myší (metoda Drag &amp; Drop).</w:t>
      </w:r>
    </w:p>
    <w:p w14:paraId="526FBD75" w14:textId="77777777" w:rsidR="00CC4622" w:rsidRPr="00CC4622" w:rsidRDefault="00CC4622" w:rsidP="00623F76">
      <w:pPr>
        <w:numPr>
          <w:ilvl w:val="0"/>
          <w:numId w:val="36"/>
        </w:numPr>
        <w:spacing w:before="0" w:after="20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>Systém musí obsahovat portál pro zaměstnance, kde každý zaměstnanec může sledovat svůj svěřený majetek bez nutnosti instalace klientů na koncové počítače uživatelů.</w:t>
      </w:r>
    </w:p>
    <w:p w14:paraId="23C40FD7" w14:textId="77777777" w:rsidR="00CC4622" w:rsidRPr="00CC4622" w:rsidRDefault="00CC4622" w:rsidP="00623F76">
      <w:pPr>
        <w:numPr>
          <w:ilvl w:val="0"/>
          <w:numId w:val="36"/>
        </w:numPr>
        <w:spacing w:before="0" w:after="20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>Uživatelské rozhraní je lokalizováno do češtiny.</w:t>
      </w:r>
    </w:p>
    <w:p w14:paraId="33A078E2" w14:textId="77777777" w:rsidR="00CC4622" w:rsidRPr="00CC4622" w:rsidRDefault="00CC4622" w:rsidP="00623F76">
      <w:pPr>
        <w:numPr>
          <w:ilvl w:val="0"/>
          <w:numId w:val="36"/>
        </w:numPr>
        <w:spacing w:before="0" w:after="20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>Zadavatel požaduje, aby šablony tiskových sestav byly uloženy v databázi produktu, aby bylo zajištěno jednotné používání výstupů.</w:t>
      </w:r>
    </w:p>
    <w:p w14:paraId="2E4A3E69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16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 xml:space="preserve">Řešení obsahuje rozsáhlou knihovnu softwarových vzorů – </w:t>
      </w:r>
      <w:r w:rsidRPr="00CC4622">
        <w:rPr>
          <w:rFonts w:ascii="Cambria" w:eastAsia="Times New Roman" w:hAnsi="Cambria"/>
          <w:i/>
          <w:iCs/>
          <w:lang w:eastAsia="en-US"/>
        </w:rPr>
        <w:t>minimálně 50.000 vzorů SW</w:t>
      </w:r>
    </w:p>
    <w:p w14:paraId="7149007B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0" w:line="240" w:lineRule="auto"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>Řešení musí obsahovat znalostní databázi o software, automaticky udržovanou a publikovanou výrobcem a poskytovanou formou služby. Řešení musí obsahovat automatický mechanizmus pro odesílání hlaviček nerozpoznaného software bez nutnosti ručního zásahu a následný automatický upgrade aktualizované softwarové knihovny – celý proces musí být plně automatický bez nutnosti jakéhokoliv zásahu nebo podpory na straně uživatele.</w:t>
      </w:r>
    </w:p>
    <w:p w14:paraId="18A473AF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0" w:line="240" w:lineRule="auto"/>
        <w:jc w:val="left"/>
        <w:rPr>
          <w:rFonts w:ascii="Cambria" w:eastAsia="Times New Roman" w:hAnsi="Cambria"/>
          <w:lang w:eastAsia="ar-SA"/>
        </w:rPr>
      </w:pPr>
      <w:r w:rsidRPr="00CC4622">
        <w:rPr>
          <w:rFonts w:ascii="Cambria" w:eastAsia="Times New Roman" w:hAnsi="Cambria"/>
          <w:lang w:eastAsia="ar-SA"/>
        </w:rPr>
        <w:t xml:space="preserve"> Zadavatel požaduje plný přístup k databázi pouze pro správce aplikace</w:t>
      </w:r>
      <w:r w:rsidRPr="00CC4622">
        <w:rPr>
          <w:rFonts w:ascii="Cambria" w:eastAsia="Times New Roman" w:hAnsi="Cambria"/>
          <w:b/>
          <w:bCs/>
          <w:lang w:eastAsia="ar-SA"/>
        </w:rPr>
        <w:t xml:space="preserve"> </w:t>
      </w:r>
      <w:r w:rsidRPr="00CC4622">
        <w:rPr>
          <w:rFonts w:ascii="Cambria" w:eastAsia="Times New Roman" w:hAnsi="Cambria"/>
          <w:lang w:eastAsia="ar-SA"/>
        </w:rPr>
        <w:t>pro volnou možnost tvorby reportů od předpřipravených výstupů, přes možnost exportu do Excelu až po možnost přímého SQL dotazu do databáze.</w:t>
      </w:r>
    </w:p>
    <w:p w14:paraId="77F6C3EF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0" w:line="240" w:lineRule="auto"/>
        <w:jc w:val="left"/>
        <w:rPr>
          <w:rFonts w:ascii="Cambria" w:eastAsia="Times New Roman" w:hAnsi="Cambria"/>
          <w:lang w:eastAsia="ar-SA"/>
        </w:rPr>
      </w:pPr>
      <w:r w:rsidRPr="00CC4622">
        <w:rPr>
          <w:rFonts w:ascii="Cambria" w:eastAsia="Times New Roman" w:hAnsi="Cambria"/>
          <w:lang w:eastAsia="ar-SA"/>
        </w:rPr>
        <w:t xml:space="preserve">Zadavatel požaduje možnost využít pro reporting </w:t>
      </w:r>
      <w:proofErr w:type="spellStart"/>
      <w:r w:rsidRPr="00CC4622">
        <w:rPr>
          <w:rFonts w:ascii="Cambria" w:eastAsia="Times New Roman" w:hAnsi="Cambria"/>
          <w:lang w:eastAsia="ar-SA"/>
        </w:rPr>
        <w:t>Power</w:t>
      </w:r>
      <w:proofErr w:type="spellEnd"/>
      <w:r w:rsidRPr="00CC4622">
        <w:rPr>
          <w:rFonts w:ascii="Cambria" w:eastAsia="Times New Roman" w:hAnsi="Cambria"/>
          <w:lang w:eastAsia="ar-SA"/>
        </w:rPr>
        <w:t xml:space="preserve"> BI a z tohoto důvodu jsou požadovány předpřipravené </w:t>
      </w:r>
      <w:proofErr w:type="spellStart"/>
      <w:r w:rsidRPr="00CC4622">
        <w:rPr>
          <w:rFonts w:ascii="Cambria" w:eastAsia="Times New Roman" w:hAnsi="Cambria"/>
          <w:lang w:eastAsia="ar-SA"/>
        </w:rPr>
        <w:t>Query</w:t>
      </w:r>
      <w:proofErr w:type="spellEnd"/>
      <w:r w:rsidRPr="00CC4622">
        <w:rPr>
          <w:rFonts w:ascii="Cambria" w:eastAsia="Times New Roman" w:hAnsi="Cambria"/>
          <w:lang w:eastAsia="ar-SA"/>
        </w:rPr>
        <w:t xml:space="preserve"> pohledy pro jednoduchou tvorbu reportů nad </w:t>
      </w:r>
      <w:proofErr w:type="spellStart"/>
      <w:r w:rsidRPr="00CC4622">
        <w:rPr>
          <w:rFonts w:ascii="Cambria" w:eastAsia="Times New Roman" w:hAnsi="Cambria"/>
          <w:lang w:eastAsia="ar-SA"/>
        </w:rPr>
        <w:t>Power</w:t>
      </w:r>
      <w:proofErr w:type="spellEnd"/>
      <w:r w:rsidRPr="00CC4622">
        <w:rPr>
          <w:rFonts w:ascii="Cambria" w:eastAsia="Times New Roman" w:hAnsi="Cambria"/>
          <w:lang w:eastAsia="ar-SA"/>
        </w:rPr>
        <w:t xml:space="preserve"> BI.</w:t>
      </w:r>
    </w:p>
    <w:p w14:paraId="50C78CFA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0" w:line="240" w:lineRule="auto"/>
        <w:jc w:val="left"/>
        <w:rPr>
          <w:rFonts w:ascii="Cambria" w:eastAsia="Times New Roman" w:hAnsi="Cambria"/>
          <w:lang w:eastAsia="ar-SA"/>
        </w:rPr>
      </w:pPr>
      <w:r w:rsidRPr="00CC4622">
        <w:rPr>
          <w:rFonts w:ascii="Cambria" w:eastAsia="Times New Roman" w:hAnsi="Cambria"/>
          <w:lang w:eastAsia="ar-SA"/>
        </w:rPr>
        <w:t>Pro počítače umístěné mimo vlastní LAN požadujeme odesílání dat z počítačů prostřednictvím internetu (stačí, když je počítač připojen k internetu a nemusí být navázána VPN do LAN) pomocí zabezpečeného protokolu.</w:t>
      </w:r>
    </w:p>
    <w:p w14:paraId="1278350E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0" w:line="240" w:lineRule="auto"/>
        <w:jc w:val="left"/>
        <w:rPr>
          <w:rFonts w:ascii="Cambria" w:eastAsia="Times New Roman" w:hAnsi="Cambria"/>
          <w:lang w:eastAsia="ar-SA"/>
        </w:rPr>
      </w:pPr>
      <w:r w:rsidRPr="00CC4622">
        <w:rPr>
          <w:rFonts w:ascii="Cambria" w:eastAsia="Times New Roman" w:hAnsi="Cambria"/>
          <w:lang w:eastAsia="ar-SA"/>
        </w:rPr>
        <w:t>Řešení obsahuje možnost rozšíření o automatický mechanismus pro hlídání neoprávněně nainstalovaného software s možností několikastupňového eskalačního procesu.</w:t>
      </w:r>
    </w:p>
    <w:p w14:paraId="28981295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0" w:line="240" w:lineRule="auto"/>
        <w:jc w:val="left"/>
        <w:rPr>
          <w:rFonts w:ascii="Cambria" w:eastAsia="Times New Roman" w:hAnsi="Cambria"/>
          <w:lang w:eastAsia="ar-SA"/>
        </w:rPr>
      </w:pPr>
      <w:r w:rsidRPr="00CC4622">
        <w:rPr>
          <w:rFonts w:ascii="Cambria" w:eastAsia="Times New Roman" w:hAnsi="Cambria"/>
          <w:lang w:eastAsia="ar-SA"/>
        </w:rPr>
        <w:t xml:space="preserve">Řešení obsahuje možnost tisku předávacích protokolů </w:t>
      </w:r>
    </w:p>
    <w:p w14:paraId="6D0DB651" w14:textId="77777777" w:rsidR="00CC4622" w:rsidRPr="00CC4622" w:rsidRDefault="00CC4622" w:rsidP="00CC4622">
      <w:pPr>
        <w:suppressAutoHyphens/>
        <w:spacing w:before="0" w:after="0" w:line="240" w:lineRule="auto"/>
        <w:ind w:left="643"/>
        <w:rPr>
          <w:rFonts w:ascii="Cambria" w:eastAsia="Times New Roman" w:hAnsi="Cambria"/>
          <w:b/>
          <w:lang w:eastAsia="ar-SA"/>
        </w:rPr>
      </w:pPr>
    </w:p>
    <w:p w14:paraId="4218399C" w14:textId="77777777" w:rsidR="00CC4622" w:rsidRPr="00CC4622" w:rsidRDefault="00CC4622" w:rsidP="00623F76">
      <w:pPr>
        <w:numPr>
          <w:ilvl w:val="0"/>
          <w:numId w:val="36"/>
        </w:numPr>
        <w:suppressAutoHyphens/>
        <w:spacing w:before="0" w:after="0" w:line="240" w:lineRule="auto"/>
        <w:jc w:val="left"/>
        <w:rPr>
          <w:rFonts w:ascii="Cambria" w:eastAsia="Times New Roman" w:hAnsi="Cambria"/>
          <w:b/>
          <w:bCs/>
          <w:lang w:eastAsia="ar-SA"/>
        </w:rPr>
      </w:pPr>
      <w:r w:rsidRPr="00CC4622">
        <w:rPr>
          <w:rFonts w:ascii="Cambria" w:eastAsia="Times New Roman" w:hAnsi="Cambria"/>
          <w:b/>
          <w:bCs/>
          <w:lang w:eastAsia="ar-SA"/>
        </w:rPr>
        <w:t>Požadované certifikace</w:t>
      </w:r>
    </w:p>
    <w:p w14:paraId="3666FD00" w14:textId="77777777" w:rsidR="00CC4622" w:rsidRPr="00CC4622" w:rsidRDefault="00CC4622" w:rsidP="00623F76">
      <w:pPr>
        <w:numPr>
          <w:ilvl w:val="0"/>
          <w:numId w:val="37"/>
        </w:numPr>
        <w:suppressAutoHyphens/>
        <w:spacing w:before="0" w:after="0" w:line="240" w:lineRule="auto"/>
        <w:jc w:val="left"/>
        <w:rPr>
          <w:rFonts w:ascii="Cambria" w:eastAsia="Times New Roman" w:hAnsi="Cambria"/>
          <w:lang w:eastAsia="ar-SA"/>
        </w:rPr>
      </w:pPr>
      <w:r w:rsidRPr="00CC4622">
        <w:rPr>
          <w:rFonts w:ascii="Cambria" w:eastAsia="Times New Roman" w:hAnsi="Cambria"/>
          <w:lang w:eastAsia="ar-SA"/>
        </w:rPr>
        <w:t>Navržené řešení musí být schváleno v katalogu eGovernment služeb na úrovni 3</w:t>
      </w:r>
    </w:p>
    <w:p w14:paraId="2804AEFC" w14:textId="77777777" w:rsidR="00CC4622" w:rsidRPr="00CC4622" w:rsidRDefault="00CC4622" w:rsidP="00CC4622">
      <w:pPr>
        <w:suppressAutoHyphens/>
        <w:spacing w:before="0" w:after="0" w:line="240" w:lineRule="auto"/>
        <w:rPr>
          <w:rFonts w:ascii="Cambria" w:eastAsia="Times New Roman" w:hAnsi="Cambria"/>
          <w:lang w:eastAsia="ar-SA"/>
        </w:rPr>
      </w:pPr>
    </w:p>
    <w:p w14:paraId="56B9C60C" w14:textId="77777777" w:rsidR="00CC4622" w:rsidRPr="00CC4622" w:rsidRDefault="00CC4622" w:rsidP="00623F76">
      <w:pPr>
        <w:numPr>
          <w:ilvl w:val="0"/>
          <w:numId w:val="37"/>
        </w:numPr>
        <w:spacing w:before="0" w:after="16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>Navržené řešení musí být certifikováno na ověření shody s požadavky v Usnesení vlády České republiky č. 624/2001 Sb. O pravidlech, zásadách a způsobu zabezpečování kontroly užívání počítačových programů.</w:t>
      </w:r>
    </w:p>
    <w:p w14:paraId="2FEFA5A8" w14:textId="77777777" w:rsidR="00CC4622" w:rsidRPr="00CC4622" w:rsidRDefault="00CC4622" w:rsidP="00623F76">
      <w:pPr>
        <w:numPr>
          <w:ilvl w:val="0"/>
          <w:numId w:val="37"/>
        </w:numPr>
        <w:spacing w:before="0" w:after="160"/>
        <w:contextualSpacing/>
        <w:jc w:val="left"/>
        <w:rPr>
          <w:rFonts w:ascii="Cambria" w:eastAsia="Times New Roman" w:hAnsi="Cambria"/>
          <w:lang w:eastAsia="en-US"/>
        </w:rPr>
      </w:pPr>
      <w:r w:rsidRPr="00CC4622">
        <w:rPr>
          <w:rFonts w:ascii="Cambria" w:eastAsia="Times New Roman" w:hAnsi="Cambria"/>
          <w:lang w:eastAsia="en-US"/>
        </w:rPr>
        <w:t>K nabídce musí být přiložen certifikát vydaný způsobilou certifikační autoritou, potvrzující tuto certifikaci.</w:t>
      </w:r>
    </w:p>
    <w:p w14:paraId="17B2FC12" w14:textId="77777777" w:rsidR="00CC4622" w:rsidRPr="00CC4622" w:rsidRDefault="00CC4622" w:rsidP="00623F76">
      <w:pPr>
        <w:numPr>
          <w:ilvl w:val="0"/>
          <w:numId w:val="37"/>
        </w:numPr>
        <w:suppressAutoHyphens/>
        <w:spacing w:before="0" w:after="0" w:line="240" w:lineRule="auto"/>
        <w:jc w:val="left"/>
        <w:rPr>
          <w:rFonts w:ascii="Cambria" w:eastAsia="Times New Roman" w:hAnsi="Cambria"/>
          <w:lang w:eastAsia="ar-SA"/>
        </w:rPr>
      </w:pPr>
      <w:r w:rsidRPr="00CC4622">
        <w:rPr>
          <w:rFonts w:ascii="Cambria" w:eastAsia="Times New Roman" w:hAnsi="Cambria"/>
          <w:lang w:eastAsia="ar-SA"/>
        </w:rPr>
        <w:t xml:space="preserve">Navržené řešení musí být certifikováno na proces Správa aktiv (IT </w:t>
      </w:r>
      <w:proofErr w:type="spellStart"/>
      <w:r w:rsidRPr="00CC4622">
        <w:rPr>
          <w:rFonts w:ascii="Cambria" w:eastAsia="Times New Roman" w:hAnsi="Cambria"/>
          <w:lang w:eastAsia="ar-SA"/>
        </w:rPr>
        <w:t>Asset</w:t>
      </w:r>
      <w:proofErr w:type="spellEnd"/>
      <w:r w:rsidRPr="00CC4622">
        <w:rPr>
          <w:rFonts w:ascii="Cambria" w:eastAsia="Times New Roman" w:hAnsi="Cambria"/>
          <w:lang w:eastAsia="ar-SA"/>
        </w:rPr>
        <w:t xml:space="preserve"> Management) dle poslední verze ITIL (ITIL 4) nebo Pink </w:t>
      </w:r>
      <w:proofErr w:type="spellStart"/>
      <w:r w:rsidRPr="00CC4622">
        <w:rPr>
          <w:rFonts w:ascii="Cambria" w:eastAsia="Times New Roman" w:hAnsi="Cambria"/>
          <w:lang w:eastAsia="ar-SA"/>
        </w:rPr>
        <w:t>Verify</w:t>
      </w:r>
      <w:proofErr w:type="spellEnd"/>
      <w:r w:rsidRPr="00CC4622">
        <w:rPr>
          <w:rFonts w:ascii="Cambria" w:eastAsia="Times New Roman" w:hAnsi="Cambria"/>
          <w:lang w:eastAsia="ar-SA"/>
        </w:rPr>
        <w:t xml:space="preserve"> oprávněnou certifikační autoritou.</w:t>
      </w:r>
    </w:p>
    <w:p w14:paraId="487CF071" w14:textId="77777777" w:rsidR="00CC4622" w:rsidRPr="00CC4622" w:rsidRDefault="00CC4622" w:rsidP="00623F76">
      <w:pPr>
        <w:numPr>
          <w:ilvl w:val="0"/>
          <w:numId w:val="37"/>
        </w:numPr>
        <w:suppressAutoHyphens/>
        <w:spacing w:before="0" w:after="0" w:line="240" w:lineRule="auto"/>
        <w:jc w:val="left"/>
        <w:rPr>
          <w:rFonts w:ascii="Cambria" w:eastAsia="Times New Roman" w:hAnsi="Cambria"/>
          <w:lang w:eastAsia="ar-SA"/>
        </w:rPr>
      </w:pPr>
      <w:r w:rsidRPr="00CC4622">
        <w:rPr>
          <w:rFonts w:ascii="Cambria" w:eastAsia="Times New Roman" w:hAnsi="Cambria"/>
          <w:lang w:eastAsia="ar-SA"/>
        </w:rPr>
        <w:t>K nabídce musí být přiložen certifikát vydaný způsobilou certifikační autoritou, potvrzující tento rozsah certifikací.</w:t>
      </w:r>
    </w:p>
    <w:p w14:paraId="7C20F7D6" w14:textId="77777777" w:rsidR="00CC4622" w:rsidRPr="00CC4622" w:rsidRDefault="00CC4622" w:rsidP="00CC4622">
      <w:pPr>
        <w:suppressAutoHyphens/>
        <w:spacing w:before="0" w:after="0" w:line="240" w:lineRule="auto"/>
        <w:rPr>
          <w:rFonts w:ascii="Cambria" w:eastAsia="Times New Roman" w:hAnsi="Cambria"/>
          <w:lang w:eastAsia="ar-SA"/>
        </w:rPr>
      </w:pPr>
    </w:p>
    <w:p w14:paraId="17D0D650" w14:textId="77777777" w:rsidR="00CC4622" w:rsidRPr="00CC4622" w:rsidRDefault="00CC4622" w:rsidP="00623F76">
      <w:pPr>
        <w:numPr>
          <w:ilvl w:val="0"/>
          <w:numId w:val="37"/>
        </w:numPr>
        <w:suppressAutoHyphens/>
        <w:spacing w:before="0" w:after="0" w:line="240" w:lineRule="auto"/>
        <w:jc w:val="left"/>
        <w:rPr>
          <w:rFonts w:ascii="Cambria" w:eastAsia="Times New Roman" w:hAnsi="Cambria"/>
          <w:lang w:eastAsia="ar-SA"/>
        </w:rPr>
      </w:pPr>
      <w:r w:rsidRPr="00CC4622">
        <w:rPr>
          <w:rFonts w:ascii="Cambria" w:eastAsia="Times New Roman" w:hAnsi="Cambria"/>
          <w:lang w:eastAsia="ar-SA"/>
        </w:rPr>
        <w:t>Navržené řešení musí být certifikováno na proces Správa konfigurace (</w:t>
      </w:r>
      <w:proofErr w:type="spellStart"/>
      <w:r w:rsidRPr="00CC4622">
        <w:rPr>
          <w:rFonts w:ascii="Cambria" w:eastAsia="Times New Roman" w:hAnsi="Cambria"/>
          <w:lang w:eastAsia="ar-SA"/>
        </w:rPr>
        <w:t>Service</w:t>
      </w:r>
      <w:proofErr w:type="spellEnd"/>
      <w:r w:rsidRPr="00CC4622">
        <w:rPr>
          <w:rFonts w:ascii="Cambria" w:eastAsia="Times New Roman" w:hAnsi="Cambria"/>
          <w:lang w:eastAsia="ar-SA"/>
        </w:rPr>
        <w:t xml:space="preserve"> </w:t>
      </w:r>
      <w:proofErr w:type="spellStart"/>
      <w:r w:rsidRPr="00CC4622">
        <w:rPr>
          <w:rFonts w:ascii="Cambria" w:eastAsia="Times New Roman" w:hAnsi="Cambria"/>
          <w:lang w:eastAsia="ar-SA"/>
        </w:rPr>
        <w:t>Configuration</w:t>
      </w:r>
      <w:proofErr w:type="spellEnd"/>
      <w:r w:rsidRPr="00CC4622">
        <w:rPr>
          <w:rFonts w:ascii="Cambria" w:eastAsia="Times New Roman" w:hAnsi="Cambria"/>
          <w:lang w:eastAsia="ar-SA"/>
        </w:rPr>
        <w:t xml:space="preserve"> Management) dle poslední verze ITIL nebo Pink </w:t>
      </w:r>
      <w:proofErr w:type="spellStart"/>
      <w:r w:rsidRPr="00CC4622">
        <w:rPr>
          <w:rFonts w:ascii="Cambria" w:eastAsia="Times New Roman" w:hAnsi="Cambria"/>
          <w:lang w:eastAsia="ar-SA"/>
        </w:rPr>
        <w:t>Verify</w:t>
      </w:r>
      <w:proofErr w:type="spellEnd"/>
      <w:r w:rsidRPr="00CC4622">
        <w:rPr>
          <w:rFonts w:ascii="Cambria" w:eastAsia="Times New Roman" w:hAnsi="Cambria"/>
          <w:lang w:eastAsia="ar-SA"/>
        </w:rPr>
        <w:t xml:space="preserve"> oprávněnou certifikační autoritou.</w:t>
      </w:r>
    </w:p>
    <w:p w14:paraId="41BA816C" w14:textId="6E0B4823" w:rsidR="00CC4622" w:rsidRPr="00D37D6E" w:rsidRDefault="00CC4622" w:rsidP="00623F76">
      <w:pPr>
        <w:numPr>
          <w:ilvl w:val="0"/>
          <w:numId w:val="37"/>
        </w:numPr>
        <w:suppressAutoHyphens/>
        <w:spacing w:before="0" w:after="0" w:line="240" w:lineRule="auto"/>
        <w:jc w:val="left"/>
        <w:rPr>
          <w:rFonts w:ascii="Cambria" w:eastAsia="Times New Roman" w:hAnsi="Cambria"/>
          <w:b/>
          <w:bCs/>
          <w:u w:val="single"/>
          <w:lang w:eastAsia="ar-SA"/>
        </w:rPr>
      </w:pPr>
      <w:bookmarkStart w:id="14" w:name="_Hlk199330223"/>
      <w:r w:rsidRPr="00D37D6E">
        <w:rPr>
          <w:rFonts w:ascii="Cambria" w:eastAsia="Times New Roman" w:hAnsi="Cambria"/>
          <w:b/>
          <w:bCs/>
          <w:u w:val="single"/>
          <w:lang w:eastAsia="ar-SA"/>
        </w:rPr>
        <w:t>K</w:t>
      </w:r>
      <w:r w:rsidR="00D37D6E" w:rsidRPr="00D37D6E">
        <w:rPr>
          <w:rFonts w:ascii="Cambria" w:eastAsia="Times New Roman" w:hAnsi="Cambria"/>
          <w:b/>
          <w:bCs/>
          <w:u w:val="single"/>
          <w:lang w:eastAsia="ar-SA"/>
        </w:rPr>
        <w:t> </w:t>
      </w:r>
      <w:r w:rsidRPr="00D37D6E">
        <w:rPr>
          <w:rFonts w:ascii="Cambria" w:eastAsia="Times New Roman" w:hAnsi="Cambria"/>
          <w:b/>
          <w:bCs/>
          <w:u w:val="single"/>
          <w:lang w:eastAsia="ar-SA"/>
        </w:rPr>
        <w:t>nabídce</w:t>
      </w:r>
      <w:r w:rsidR="00D37D6E" w:rsidRPr="00D37D6E">
        <w:rPr>
          <w:rFonts w:ascii="Cambria" w:eastAsia="Times New Roman" w:hAnsi="Cambria"/>
          <w:b/>
          <w:bCs/>
          <w:u w:val="single"/>
          <w:lang w:eastAsia="ar-SA"/>
        </w:rPr>
        <w:t xml:space="preserve"> podané účastníkem pro Část 7 veřejné zakázky</w:t>
      </w:r>
      <w:r w:rsidRPr="00D37D6E">
        <w:rPr>
          <w:rFonts w:ascii="Cambria" w:eastAsia="Times New Roman" w:hAnsi="Cambria"/>
          <w:b/>
          <w:bCs/>
          <w:u w:val="single"/>
          <w:lang w:eastAsia="ar-SA"/>
        </w:rPr>
        <w:t xml:space="preserve"> musí být přiložen certifikát vydaný způsobilou certifikační autoritou, potvrzující tento rozsah certifikací.</w:t>
      </w:r>
    </w:p>
    <w:bookmarkEnd w:id="14"/>
    <w:p w14:paraId="2A9DEB86" w14:textId="77777777" w:rsidR="00B41AAD" w:rsidRPr="00F44C72" w:rsidRDefault="00B41AAD" w:rsidP="0079431A">
      <w:pPr>
        <w:pStyle w:val="Nadpis2"/>
        <w:rPr>
          <w:rFonts w:ascii="Cambria" w:hAnsi="Cambria"/>
        </w:rPr>
      </w:pPr>
    </w:p>
    <w:p w14:paraId="01B44E16" w14:textId="0F578F50" w:rsidR="0079431A" w:rsidRPr="00F44C72" w:rsidRDefault="00EC4FA1" w:rsidP="0079431A">
      <w:pPr>
        <w:pStyle w:val="Nadpis2"/>
        <w:rPr>
          <w:rFonts w:ascii="Cambria" w:hAnsi="Cambria"/>
        </w:rPr>
      </w:pPr>
      <w:bookmarkStart w:id="15" w:name="_Toc197347738"/>
      <w:r w:rsidRPr="00F44C72">
        <w:rPr>
          <w:rFonts w:ascii="Cambria" w:hAnsi="Cambria"/>
        </w:rPr>
        <w:t xml:space="preserve">požadované </w:t>
      </w:r>
      <w:r w:rsidR="0079431A" w:rsidRPr="00F44C72">
        <w:rPr>
          <w:rFonts w:ascii="Cambria" w:hAnsi="Cambria"/>
        </w:rPr>
        <w:t>Technické parametry</w:t>
      </w:r>
      <w:r w:rsidR="00AC75A0" w:rsidRPr="00F44C72">
        <w:rPr>
          <w:rFonts w:ascii="Cambria" w:hAnsi="Cambria"/>
        </w:rPr>
        <w:t xml:space="preserve"> a funkcionality</w:t>
      </w:r>
      <w:bookmarkEnd w:id="15"/>
    </w:p>
    <w:p w14:paraId="67F97CAF" w14:textId="77777777" w:rsidR="003D05A9" w:rsidRPr="00F44C72" w:rsidRDefault="003D05A9" w:rsidP="003D05A9">
      <w:pPr>
        <w:rPr>
          <w:rFonts w:ascii="Cambria" w:hAnsi="Cambria"/>
        </w:rPr>
      </w:pPr>
    </w:p>
    <w:p w14:paraId="57D74EA1" w14:textId="0147437C" w:rsidR="00D37D6E" w:rsidRPr="00F44C72" w:rsidRDefault="00AC75A0" w:rsidP="00AC75A0">
      <w:pPr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>Řešení pro řízení nákladů spojených s dodáváním IT služeb:</w:t>
      </w:r>
    </w:p>
    <w:p w14:paraId="360B7765" w14:textId="77777777" w:rsidR="00AC75A0" w:rsidRPr="00F44C72" w:rsidRDefault="00AC75A0" w:rsidP="00623F76">
      <w:pPr>
        <w:numPr>
          <w:ilvl w:val="0"/>
          <w:numId w:val="41"/>
        </w:numPr>
        <w:suppressAutoHyphens/>
        <w:spacing w:before="0" w:after="0" w:line="240" w:lineRule="auto"/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>Umožňuje podporu všech procesů, které zadavatel potřebuje pro řízení životního cyklu IT zdrojů souvisejících s provozem IT služeb. Z doporučených procesů ITIL, které musí navržený software podporovat (viz výše), musí být v rámci projektu realizovány procesy a funkce:</w:t>
      </w:r>
    </w:p>
    <w:p w14:paraId="70F02180" w14:textId="77777777" w:rsidR="00AC75A0" w:rsidRPr="00F44C72" w:rsidRDefault="00AC75A0" w:rsidP="00623F76">
      <w:pPr>
        <w:numPr>
          <w:ilvl w:val="0"/>
          <w:numId w:val="38"/>
        </w:numPr>
        <w:suppressAutoHyphens/>
        <w:spacing w:before="0" w:after="0" w:line="240" w:lineRule="auto"/>
        <w:ind w:left="1416"/>
        <w:rPr>
          <w:rFonts w:ascii="Cambria" w:hAnsi="Cambria" w:cstheme="minorHAnsi"/>
          <w:b/>
          <w:bCs/>
        </w:rPr>
      </w:pPr>
      <w:r w:rsidRPr="00F44C72">
        <w:rPr>
          <w:rFonts w:ascii="Cambria" w:hAnsi="Cambria" w:cstheme="minorHAnsi"/>
          <w:b/>
          <w:bCs/>
        </w:rPr>
        <w:t xml:space="preserve">Software </w:t>
      </w:r>
      <w:proofErr w:type="spellStart"/>
      <w:r w:rsidRPr="00F44C72">
        <w:rPr>
          <w:rFonts w:ascii="Cambria" w:hAnsi="Cambria" w:cstheme="minorHAnsi"/>
          <w:b/>
          <w:bCs/>
        </w:rPr>
        <w:t>Asset</w:t>
      </w:r>
      <w:proofErr w:type="spellEnd"/>
      <w:r w:rsidRPr="00F44C72">
        <w:rPr>
          <w:rFonts w:ascii="Cambria" w:hAnsi="Cambria" w:cstheme="minorHAnsi"/>
          <w:b/>
          <w:bCs/>
        </w:rPr>
        <w:t xml:space="preserve"> Management</w:t>
      </w:r>
    </w:p>
    <w:p w14:paraId="4742141A" w14:textId="77777777" w:rsidR="00AC75A0" w:rsidRPr="00F44C72" w:rsidRDefault="00AC75A0" w:rsidP="00AC75A0">
      <w:pPr>
        <w:ind w:left="708"/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>Řízení životního cyklu spojeného se softwarovými aktivy.</w:t>
      </w:r>
    </w:p>
    <w:p w14:paraId="4D09F2CD" w14:textId="77777777" w:rsidR="00AC75A0" w:rsidRPr="00F44C72" w:rsidRDefault="00AC75A0" w:rsidP="00AC75A0">
      <w:pPr>
        <w:ind w:left="708"/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>Podpora automatizace zjišťování informací o konfiguračních položkách software. Zautomatizovaná podpora operativní práce IT týmu spojená s řešením a udržením softwarové a licenční čistoty.</w:t>
      </w:r>
    </w:p>
    <w:p w14:paraId="11B475A5" w14:textId="77777777" w:rsidR="00AC75A0" w:rsidRPr="00F44C72" w:rsidRDefault="00AC75A0" w:rsidP="00623F76">
      <w:pPr>
        <w:keepNext/>
        <w:numPr>
          <w:ilvl w:val="0"/>
          <w:numId w:val="39"/>
        </w:numPr>
        <w:suppressAutoHyphens/>
        <w:spacing w:before="0" w:after="0" w:line="240" w:lineRule="auto"/>
        <w:ind w:left="1412" w:hanging="357"/>
        <w:rPr>
          <w:rFonts w:ascii="Cambria" w:hAnsi="Cambria" w:cstheme="minorHAnsi"/>
          <w:b/>
          <w:bCs/>
        </w:rPr>
      </w:pPr>
      <w:proofErr w:type="spellStart"/>
      <w:r w:rsidRPr="00F44C72">
        <w:rPr>
          <w:rFonts w:ascii="Cambria" w:hAnsi="Cambria" w:cstheme="minorHAnsi"/>
          <w:b/>
          <w:bCs/>
        </w:rPr>
        <w:t>Service</w:t>
      </w:r>
      <w:proofErr w:type="spellEnd"/>
      <w:r w:rsidRPr="00F44C72">
        <w:rPr>
          <w:rFonts w:ascii="Cambria" w:hAnsi="Cambria" w:cstheme="minorHAnsi"/>
          <w:b/>
          <w:bCs/>
        </w:rPr>
        <w:t xml:space="preserve"> </w:t>
      </w:r>
      <w:proofErr w:type="spellStart"/>
      <w:r w:rsidRPr="00F44C72">
        <w:rPr>
          <w:rFonts w:ascii="Cambria" w:hAnsi="Cambria" w:cstheme="minorHAnsi"/>
          <w:b/>
          <w:bCs/>
        </w:rPr>
        <w:t>Configuration</w:t>
      </w:r>
      <w:proofErr w:type="spellEnd"/>
      <w:r w:rsidRPr="00F44C72">
        <w:rPr>
          <w:rFonts w:ascii="Cambria" w:hAnsi="Cambria" w:cstheme="minorHAnsi"/>
          <w:b/>
          <w:bCs/>
        </w:rPr>
        <w:t xml:space="preserve"> Management</w:t>
      </w:r>
    </w:p>
    <w:p w14:paraId="5312063E" w14:textId="74434CE8" w:rsidR="00AC75A0" w:rsidRPr="00D37D6E" w:rsidRDefault="00AC75A0" w:rsidP="00AC75A0">
      <w:pPr>
        <w:ind w:left="708"/>
        <w:rPr>
          <w:rFonts w:ascii="Cambria" w:hAnsi="Cambria" w:cstheme="minorHAnsi"/>
          <w:bCs/>
        </w:rPr>
      </w:pPr>
      <w:r w:rsidRPr="00D37D6E">
        <w:rPr>
          <w:rFonts w:ascii="Cambria" w:hAnsi="Cambria" w:cstheme="minorHAnsi"/>
          <w:bCs/>
        </w:rPr>
        <w:t xml:space="preserve">Podpora správy konfigurační databáze. Je umožněno sledování vazby a vzájemné závislosti mezi konfiguračními položkami a uchovávána historie konfiguračních položek. </w:t>
      </w:r>
    </w:p>
    <w:p w14:paraId="7586676A" w14:textId="77777777" w:rsidR="00AC75A0" w:rsidRPr="00D37D6E" w:rsidRDefault="00AC75A0" w:rsidP="00AC75A0">
      <w:pPr>
        <w:ind w:left="708"/>
        <w:rPr>
          <w:rFonts w:ascii="Cambria" w:hAnsi="Cambria" w:cstheme="minorHAnsi"/>
          <w:bCs/>
        </w:rPr>
      </w:pPr>
      <w:r w:rsidRPr="00D37D6E">
        <w:rPr>
          <w:rFonts w:ascii="Cambria" w:hAnsi="Cambria" w:cstheme="minorHAnsi"/>
          <w:bCs/>
        </w:rPr>
        <w:t>Požadujeme vizualizaci mapy závislostí vazeb přímo v aplikaci v prostředí internetového prohlížeče.</w:t>
      </w:r>
    </w:p>
    <w:p w14:paraId="403A471E" w14:textId="77777777" w:rsidR="00AC75A0" w:rsidRPr="00D37D6E" w:rsidRDefault="00AC75A0" w:rsidP="00AC75A0">
      <w:pPr>
        <w:ind w:left="708"/>
        <w:rPr>
          <w:rFonts w:ascii="Cambria" w:hAnsi="Cambria" w:cstheme="minorHAnsi"/>
          <w:bCs/>
        </w:rPr>
      </w:pPr>
      <w:r w:rsidRPr="00D37D6E">
        <w:rPr>
          <w:rFonts w:ascii="Cambria" w:hAnsi="Cambria" w:cstheme="minorHAnsi"/>
          <w:bCs/>
        </w:rPr>
        <w:t>Požadujeme možnost vytváření neomezeného počtu vazeb mezi konfiguračními položkami s možností tvorby vlastních typů vazeb.</w:t>
      </w:r>
    </w:p>
    <w:p w14:paraId="34BCF472" w14:textId="7EA64E9E" w:rsidR="00D37D6E" w:rsidRPr="00F44C72" w:rsidRDefault="00AC75A0" w:rsidP="00D37D6E">
      <w:pPr>
        <w:ind w:left="708"/>
        <w:rPr>
          <w:rFonts w:ascii="Cambria" w:hAnsi="Cambria" w:cstheme="minorHAnsi"/>
          <w:b/>
          <w:bCs/>
        </w:rPr>
      </w:pPr>
      <w:r w:rsidRPr="00F44C72">
        <w:rPr>
          <w:rFonts w:ascii="Cambria" w:hAnsi="Cambria" w:cstheme="minorHAnsi"/>
          <w:b/>
          <w:bCs/>
        </w:rPr>
        <w:t>Z důvodu využití produktu v agendách kybernetické bezpečnosti požadujeme využití produktu dle Vyhlášky č. 82/2018 Sb. Příloha 1 (automatické propisování hodnot Důvěryhodnost, Integrita, Dostupnost napříč strukturou konfigurační databáze)</w:t>
      </w:r>
    </w:p>
    <w:p w14:paraId="6F936843" w14:textId="77777777" w:rsidR="00AC75A0" w:rsidRPr="00F44C72" w:rsidRDefault="00AC75A0" w:rsidP="00623F76">
      <w:pPr>
        <w:numPr>
          <w:ilvl w:val="0"/>
          <w:numId w:val="41"/>
        </w:numPr>
        <w:suppressAutoHyphens/>
        <w:spacing w:before="0" w:after="0" w:line="240" w:lineRule="auto"/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>Umožňuje generování a tisk reportů.</w:t>
      </w:r>
    </w:p>
    <w:p w14:paraId="0513C835" w14:textId="77777777" w:rsidR="00AC75A0" w:rsidRPr="00F44C72" w:rsidRDefault="00AC75A0" w:rsidP="00623F76">
      <w:pPr>
        <w:numPr>
          <w:ilvl w:val="0"/>
          <w:numId w:val="41"/>
        </w:numPr>
        <w:suppressAutoHyphens/>
        <w:spacing w:before="0" w:after="0" w:line="240" w:lineRule="auto"/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>Integrované přihlašování do aplikace, řízení oprávnění přístupu k informacím.</w:t>
      </w:r>
    </w:p>
    <w:p w14:paraId="62F44217" w14:textId="77777777" w:rsidR="00AC75A0" w:rsidRPr="00F44C72" w:rsidRDefault="00AC75A0" w:rsidP="00623F76">
      <w:pPr>
        <w:numPr>
          <w:ilvl w:val="0"/>
          <w:numId w:val="41"/>
        </w:numPr>
        <w:suppressAutoHyphens/>
        <w:spacing w:before="0" w:after="0" w:line="240" w:lineRule="auto"/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>Portál pro zaměstnance, manažery a IT tým</w:t>
      </w:r>
    </w:p>
    <w:p w14:paraId="4F9845F8" w14:textId="77777777" w:rsidR="00AC75A0" w:rsidRPr="00F44C72" w:rsidRDefault="00AC75A0" w:rsidP="00623F76">
      <w:pPr>
        <w:pStyle w:val="Odstavecseseznamem"/>
        <w:numPr>
          <w:ilvl w:val="0"/>
          <w:numId w:val="41"/>
        </w:numPr>
        <w:spacing w:before="0" w:after="200"/>
        <w:jc w:val="left"/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 xml:space="preserve">Podpora využití čárových kódů při operativní práci spojené </w:t>
      </w:r>
      <w:proofErr w:type="gramStart"/>
      <w:r w:rsidRPr="00F44C72">
        <w:rPr>
          <w:rFonts w:ascii="Cambria" w:hAnsi="Cambria" w:cstheme="minorHAnsi"/>
        </w:rPr>
        <w:t>s</w:t>
      </w:r>
      <w:proofErr w:type="gramEnd"/>
      <w:r w:rsidRPr="00F44C72">
        <w:rPr>
          <w:rFonts w:ascii="Cambria" w:hAnsi="Cambria" w:cstheme="minorHAnsi"/>
        </w:rPr>
        <w:t> pořizování a zaváděním nových majetků</w:t>
      </w:r>
    </w:p>
    <w:p w14:paraId="1FC11E3A" w14:textId="77777777" w:rsidR="00AC75A0" w:rsidRPr="00F44C72" w:rsidRDefault="00AC75A0" w:rsidP="00623F76">
      <w:pPr>
        <w:pStyle w:val="Odstavecseseznamem"/>
        <w:numPr>
          <w:ilvl w:val="0"/>
          <w:numId w:val="41"/>
        </w:numPr>
        <w:spacing w:before="0" w:after="200"/>
        <w:jc w:val="left"/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>Podpora inventarizace majetku s využitím podpory čárových kódů</w:t>
      </w:r>
    </w:p>
    <w:p w14:paraId="4EB15676" w14:textId="77777777" w:rsidR="00AC75A0" w:rsidRPr="00F44C72" w:rsidRDefault="00AC75A0" w:rsidP="00623F76">
      <w:pPr>
        <w:pStyle w:val="Odstavecseseznamem"/>
        <w:numPr>
          <w:ilvl w:val="0"/>
          <w:numId w:val="41"/>
        </w:numPr>
        <w:spacing w:before="0" w:after="200"/>
        <w:jc w:val="left"/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>Podpora vedení návazné dokumentace</w:t>
      </w:r>
    </w:p>
    <w:p w14:paraId="044EB9F9" w14:textId="77777777" w:rsidR="00AC75A0" w:rsidRPr="00F44C72" w:rsidRDefault="00AC75A0" w:rsidP="00AC75A0">
      <w:pPr>
        <w:rPr>
          <w:rFonts w:ascii="Cambria" w:hAnsi="Cambria" w:cstheme="minorHAnsi"/>
          <w:b/>
        </w:rPr>
      </w:pPr>
      <w:r w:rsidRPr="00F44C72">
        <w:rPr>
          <w:rFonts w:ascii="Cambria" w:hAnsi="Cambria" w:cstheme="minorHAnsi"/>
          <w:b/>
        </w:rPr>
        <w:t>Minimální vlastnosti administrace řešení</w:t>
      </w:r>
    </w:p>
    <w:p w14:paraId="5B413569" w14:textId="77777777" w:rsidR="00AC75A0" w:rsidRPr="00F44C72" w:rsidRDefault="00AC75A0" w:rsidP="00623F76">
      <w:pPr>
        <w:numPr>
          <w:ilvl w:val="0"/>
          <w:numId w:val="40"/>
        </w:numPr>
        <w:suppressAutoHyphens/>
        <w:spacing w:before="0" w:after="0" w:line="240" w:lineRule="auto"/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>Přidávání a odebírání uživatelů a jejich zařazování do skupin.</w:t>
      </w:r>
    </w:p>
    <w:p w14:paraId="6FAAE092" w14:textId="77777777" w:rsidR="00AC75A0" w:rsidRPr="00F44C72" w:rsidRDefault="00AC75A0" w:rsidP="00623F76">
      <w:pPr>
        <w:numPr>
          <w:ilvl w:val="0"/>
          <w:numId w:val="40"/>
        </w:numPr>
        <w:suppressAutoHyphens/>
        <w:spacing w:before="0" w:after="0" w:line="240" w:lineRule="auto"/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>Přidávání a odebírání skupin, přidávání uživatelských rolí.</w:t>
      </w:r>
    </w:p>
    <w:p w14:paraId="097642AB" w14:textId="77777777" w:rsidR="00AC75A0" w:rsidRPr="00F44C72" w:rsidRDefault="00AC75A0" w:rsidP="00623F76">
      <w:pPr>
        <w:numPr>
          <w:ilvl w:val="0"/>
          <w:numId w:val="40"/>
        </w:numPr>
        <w:suppressAutoHyphens/>
        <w:spacing w:before="0" w:after="0" w:line="240" w:lineRule="auto"/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>Nastavení přístupových práv k jednotlivým objektům.</w:t>
      </w:r>
    </w:p>
    <w:p w14:paraId="18E856E4" w14:textId="77777777" w:rsidR="00AC75A0" w:rsidRPr="00F44C72" w:rsidRDefault="00AC75A0" w:rsidP="00623F76">
      <w:pPr>
        <w:numPr>
          <w:ilvl w:val="0"/>
          <w:numId w:val="40"/>
        </w:numPr>
        <w:suppressAutoHyphens/>
        <w:spacing w:before="0" w:after="0" w:line="240" w:lineRule="auto"/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>Nastavení přístupových práv k částem používané struktury umístění majetku</w:t>
      </w:r>
    </w:p>
    <w:p w14:paraId="245A2838" w14:textId="77777777" w:rsidR="00AC75A0" w:rsidRPr="00F44C72" w:rsidRDefault="00AC75A0" w:rsidP="00AC75A0">
      <w:pPr>
        <w:ind w:left="360"/>
        <w:rPr>
          <w:rFonts w:ascii="Cambria" w:hAnsi="Cambria" w:cstheme="minorHAnsi"/>
        </w:rPr>
      </w:pPr>
    </w:p>
    <w:p w14:paraId="31C5B972" w14:textId="77777777" w:rsidR="00AC75A0" w:rsidRPr="00F44C72" w:rsidRDefault="00AC75A0" w:rsidP="00AC75A0">
      <w:pPr>
        <w:rPr>
          <w:rFonts w:ascii="Cambria" w:hAnsi="Cambria" w:cstheme="minorHAnsi"/>
          <w:b/>
        </w:rPr>
      </w:pPr>
      <w:r w:rsidRPr="00F44C72">
        <w:rPr>
          <w:rFonts w:ascii="Cambria" w:hAnsi="Cambria" w:cstheme="minorHAnsi"/>
          <w:b/>
        </w:rPr>
        <w:t>Integrace s aplikacemi třetích stran</w:t>
      </w:r>
    </w:p>
    <w:p w14:paraId="096820BC" w14:textId="77777777" w:rsidR="00AC75A0" w:rsidRPr="00F44C72" w:rsidRDefault="00AC75A0" w:rsidP="00AC75A0">
      <w:pPr>
        <w:rPr>
          <w:rFonts w:ascii="Cambria" w:hAnsi="Cambria" w:cstheme="minorHAnsi"/>
          <w:highlight w:val="yellow"/>
        </w:rPr>
      </w:pPr>
    </w:p>
    <w:p w14:paraId="7ABC895C" w14:textId="77777777" w:rsidR="00AC75A0" w:rsidRPr="00F44C72" w:rsidRDefault="00AC75A0" w:rsidP="00623F76">
      <w:pPr>
        <w:numPr>
          <w:ilvl w:val="0"/>
          <w:numId w:val="40"/>
        </w:numPr>
        <w:suppressAutoHyphens/>
        <w:spacing w:before="0" w:after="0" w:line="240" w:lineRule="auto"/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 xml:space="preserve">Nativní integrace s Microsoft </w:t>
      </w:r>
      <w:proofErr w:type="spellStart"/>
      <w:r w:rsidRPr="00F44C72">
        <w:rPr>
          <w:rFonts w:ascii="Cambria" w:hAnsi="Cambria" w:cstheme="minorHAnsi"/>
        </w:rPr>
        <w:t>Active</w:t>
      </w:r>
      <w:proofErr w:type="spellEnd"/>
      <w:r w:rsidRPr="00F44C72">
        <w:rPr>
          <w:rFonts w:ascii="Cambria" w:hAnsi="Cambria" w:cstheme="minorHAnsi"/>
        </w:rPr>
        <w:t xml:space="preserve"> </w:t>
      </w:r>
      <w:proofErr w:type="spellStart"/>
      <w:r w:rsidRPr="00F44C72">
        <w:rPr>
          <w:rFonts w:ascii="Cambria" w:hAnsi="Cambria" w:cstheme="minorHAnsi"/>
        </w:rPr>
        <w:t>Directory</w:t>
      </w:r>
      <w:proofErr w:type="spellEnd"/>
      <w:r w:rsidRPr="00F44C72">
        <w:rPr>
          <w:rFonts w:ascii="Cambria" w:hAnsi="Cambria" w:cstheme="minorHAnsi"/>
        </w:rPr>
        <w:t>. Automatické načítání vztahu zaměstnance a jeho nadřízeného. Automatické načítaní informací o PC.</w:t>
      </w:r>
    </w:p>
    <w:p w14:paraId="2DEE900D" w14:textId="77777777" w:rsidR="00AC75A0" w:rsidRPr="00F44C72" w:rsidRDefault="00AC75A0" w:rsidP="00623F76">
      <w:pPr>
        <w:numPr>
          <w:ilvl w:val="0"/>
          <w:numId w:val="40"/>
        </w:numPr>
        <w:suppressAutoHyphens/>
        <w:spacing w:before="0" w:after="0" w:line="240" w:lineRule="auto"/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 xml:space="preserve">Nativní integrace s Microsoft Azure </w:t>
      </w:r>
      <w:proofErr w:type="spellStart"/>
      <w:r w:rsidRPr="00F44C72">
        <w:rPr>
          <w:rFonts w:ascii="Cambria" w:hAnsi="Cambria" w:cstheme="minorHAnsi"/>
        </w:rPr>
        <w:t>Active</w:t>
      </w:r>
      <w:proofErr w:type="spellEnd"/>
      <w:r w:rsidRPr="00F44C72">
        <w:rPr>
          <w:rFonts w:ascii="Cambria" w:hAnsi="Cambria" w:cstheme="minorHAnsi"/>
        </w:rPr>
        <w:t xml:space="preserve"> </w:t>
      </w:r>
      <w:proofErr w:type="spellStart"/>
      <w:r w:rsidRPr="00F44C72">
        <w:rPr>
          <w:rFonts w:ascii="Cambria" w:hAnsi="Cambria" w:cstheme="minorHAnsi"/>
        </w:rPr>
        <w:t>Directory</w:t>
      </w:r>
      <w:proofErr w:type="spellEnd"/>
    </w:p>
    <w:p w14:paraId="3418FF7E" w14:textId="77777777" w:rsidR="00AC75A0" w:rsidRPr="00F44C72" w:rsidRDefault="00AC75A0" w:rsidP="00623F76">
      <w:pPr>
        <w:numPr>
          <w:ilvl w:val="0"/>
          <w:numId w:val="40"/>
        </w:numPr>
        <w:suppressAutoHyphens/>
        <w:spacing w:before="0" w:after="0" w:line="240" w:lineRule="auto"/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 xml:space="preserve">Integrace s nástroji pro správu pracovních stanic (VNC, </w:t>
      </w:r>
      <w:proofErr w:type="spellStart"/>
      <w:proofErr w:type="gramStart"/>
      <w:r w:rsidRPr="00F44C72">
        <w:rPr>
          <w:rFonts w:ascii="Cambria" w:hAnsi="Cambria" w:cstheme="minorHAnsi"/>
        </w:rPr>
        <w:t>RemoteDesktop</w:t>
      </w:r>
      <w:proofErr w:type="spellEnd"/>
      <w:r w:rsidRPr="00F44C72">
        <w:rPr>
          <w:rFonts w:ascii="Cambria" w:hAnsi="Cambria" w:cstheme="minorHAnsi"/>
        </w:rPr>
        <w:t>,</w:t>
      </w:r>
      <w:proofErr w:type="gramEnd"/>
      <w:r w:rsidRPr="00F44C72">
        <w:rPr>
          <w:rFonts w:ascii="Cambria" w:hAnsi="Cambria" w:cstheme="minorHAnsi"/>
        </w:rPr>
        <w:t xml:space="preserve"> apod.).</w:t>
      </w:r>
    </w:p>
    <w:p w14:paraId="3E0E442A" w14:textId="77777777" w:rsidR="00AC75A0" w:rsidRPr="00F44C72" w:rsidRDefault="00AC75A0" w:rsidP="00623F76">
      <w:pPr>
        <w:numPr>
          <w:ilvl w:val="0"/>
          <w:numId w:val="40"/>
        </w:numPr>
        <w:suppressAutoHyphens/>
        <w:spacing w:before="0" w:after="0" w:line="240" w:lineRule="auto"/>
        <w:rPr>
          <w:rFonts w:ascii="Cambria" w:hAnsi="Cambria" w:cstheme="minorHAnsi"/>
        </w:rPr>
      </w:pPr>
      <w:r w:rsidRPr="00F44C72">
        <w:rPr>
          <w:rFonts w:ascii="Cambria" w:hAnsi="Cambria" w:cstheme="minorHAnsi"/>
        </w:rPr>
        <w:t>Import a export dat z Microsoft Excel.</w:t>
      </w:r>
    </w:p>
    <w:p w14:paraId="4459CC5C" w14:textId="77777777" w:rsidR="00AC75A0" w:rsidRPr="00F44C72" w:rsidRDefault="00AC75A0" w:rsidP="00AC75A0">
      <w:pPr>
        <w:pStyle w:val="Nadpis3"/>
        <w:ind w:left="567"/>
        <w:rPr>
          <w:rFonts w:ascii="Cambria" w:hAnsi="Cambria" w:cstheme="minorHAnsi"/>
          <w:sz w:val="21"/>
          <w:szCs w:val="21"/>
        </w:rPr>
      </w:pPr>
    </w:p>
    <w:p w14:paraId="53F6D3B0" w14:textId="268E7F25" w:rsidR="0079431A" w:rsidRPr="00731DE2" w:rsidRDefault="00093FD3" w:rsidP="00731DE2">
      <w:pPr>
        <w:rPr>
          <w:rFonts w:ascii="Cambria" w:hAnsi="Cambria" w:cstheme="minorHAnsi"/>
        </w:rPr>
      </w:pPr>
      <w:r>
        <w:rPr>
          <w:rFonts w:ascii="Cambria" w:hAnsi="Cambria" w:cstheme="minorHAnsi"/>
          <w:b/>
        </w:rPr>
        <w:t>Součástí plnění bude z</w:t>
      </w:r>
      <w:r w:rsidR="00AC75A0" w:rsidRPr="00F44C72">
        <w:rPr>
          <w:rFonts w:ascii="Cambria" w:hAnsi="Cambria" w:cstheme="minorHAnsi"/>
          <w:b/>
        </w:rPr>
        <w:t>áruka</w:t>
      </w:r>
      <w:r>
        <w:rPr>
          <w:rFonts w:ascii="Cambria" w:hAnsi="Cambria" w:cstheme="minorHAnsi"/>
          <w:b/>
        </w:rPr>
        <w:t xml:space="preserve"> poskytnutá zadavateli na dobu</w:t>
      </w:r>
      <w:r w:rsidR="00AC75A0" w:rsidRPr="00F44C72">
        <w:rPr>
          <w:rFonts w:ascii="Cambria" w:hAnsi="Cambria" w:cstheme="minorHAnsi"/>
          <w:b/>
        </w:rPr>
        <w:t xml:space="preserve"> 2 ROKY</w:t>
      </w:r>
      <w:r>
        <w:rPr>
          <w:rFonts w:ascii="Cambria" w:hAnsi="Cambria" w:cstheme="minorHAnsi"/>
          <w:b/>
        </w:rPr>
        <w:t xml:space="preserve"> od implementace řešení.</w:t>
      </w:r>
    </w:p>
    <w:sectPr w:rsidR="0079431A" w:rsidRPr="00731DE2" w:rsidSect="005609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98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3CD56F" w14:textId="77777777" w:rsidR="0036540B" w:rsidRDefault="0036540B">
      <w:pPr>
        <w:spacing w:after="0" w:line="240" w:lineRule="auto"/>
      </w:pPr>
      <w:r>
        <w:separator/>
      </w:r>
    </w:p>
  </w:endnote>
  <w:endnote w:type="continuationSeparator" w:id="0">
    <w:p w14:paraId="784CBBE9" w14:textId="77777777" w:rsidR="0036540B" w:rsidRDefault="0036540B">
      <w:pPr>
        <w:spacing w:after="0" w:line="240" w:lineRule="auto"/>
      </w:pPr>
      <w:r>
        <w:continuationSeparator/>
      </w:r>
    </w:p>
  </w:endnote>
  <w:endnote w:type="continuationNotice" w:id="1">
    <w:p w14:paraId="390F1B07" w14:textId="77777777" w:rsidR="0036540B" w:rsidRDefault="0036540B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47417" w14:textId="77777777" w:rsidR="006126A9" w:rsidRDefault="00612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8873770"/>
      <w:docPartObj>
        <w:docPartGallery w:val="Page Numbers (Bottom of Page)"/>
        <w:docPartUnique/>
      </w:docPartObj>
    </w:sdtPr>
    <w:sdtContent>
      <w:p w14:paraId="367AA05D" w14:textId="77777777" w:rsidR="008B46EA" w:rsidRDefault="00076020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DF3AC2E" wp14:editId="482126E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Vývojový diagram: alternativní post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DEE6C7" w14:textId="77777777" w:rsidR="008B46EA" w:rsidRDefault="00076020">
                              <w:pPr>
                                <w:pStyle w:val="Zpat"/>
                                <w:pBdr>
                                  <w:top w:val="single" w:sz="12" w:space="1" w:color="865640" w:themeColor="accent3"/>
                                  <w:bottom w:val="single" w:sz="48" w:space="1" w:color="865640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5336C" w:rsidRPr="00A5336C">
                                <w:rPr>
                                  <w:noProof/>
                                  <w:sz w:val="28"/>
                                  <w:szCs w:val="28"/>
                                </w:rPr>
                                <w:t>12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DF3AC2E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1" o:spid="_x0000_s1026" type="#_x0000_t176" style="position:absolute;left:0;text-align:left;margin-left:0;margin-top:0;width:40.35pt;height:34.7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" filled="f" stroked="f">
                  <v:textbox>
                    <w:txbxContent>
                      <w:p w14:paraId="3ADEE6C7" w14:textId="77777777" w:rsidR="008B46EA" w:rsidRDefault="00076020">
                        <w:pPr>
                          <w:pStyle w:val="Zpat"/>
                          <w:pBdr>
                            <w:top w:val="single" w:sz="12" w:space="1" w:color="865640" w:themeColor="accent3"/>
                            <w:bottom w:val="single" w:sz="48" w:space="1" w:color="865640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A5336C" w:rsidRPr="00A5336C">
                          <w:rPr>
                            <w:noProof/>
                            <w:sz w:val="28"/>
                            <w:szCs w:val="28"/>
                          </w:rPr>
                          <w:t>12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A5860" w14:textId="77777777" w:rsidR="006126A9" w:rsidRDefault="006126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362B95" w14:textId="77777777" w:rsidR="0036540B" w:rsidRDefault="0036540B">
      <w:pPr>
        <w:spacing w:after="0" w:line="240" w:lineRule="auto"/>
      </w:pPr>
      <w:r>
        <w:separator/>
      </w:r>
    </w:p>
  </w:footnote>
  <w:footnote w:type="continuationSeparator" w:id="0">
    <w:p w14:paraId="62DEDEDC" w14:textId="77777777" w:rsidR="0036540B" w:rsidRDefault="0036540B">
      <w:pPr>
        <w:spacing w:after="0" w:line="240" w:lineRule="auto"/>
      </w:pPr>
      <w:r>
        <w:continuationSeparator/>
      </w:r>
    </w:p>
  </w:footnote>
  <w:footnote w:type="continuationNotice" w:id="1">
    <w:p w14:paraId="18DED5AA" w14:textId="77777777" w:rsidR="0036540B" w:rsidRDefault="0036540B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EEDC" w14:textId="77777777" w:rsidR="006126A9" w:rsidRDefault="00612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B71AA" w14:textId="4D8CD0FD" w:rsidR="002605D2" w:rsidRDefault="002605D2" w:rsidP="002605D2">
    <w:pPr>
      <w:pStyle w:val="Zhlav"/>
      <w:jc w:val="right"/>
      <w:rPr>
        <w:rFonts w:ascii="Cambria" w:hAnsi="Cambria"/>
        <w:b/>
        <w:bCs/>
        <w:color w:val="808080" w:themeColor="background1" w:themeShade="80"/>
        <w:sz w:val="36"/>
        <w:szCs w:val="36"/>
      </w:rPr>
    </w:pPr>
    <w:bookmarkStart w:id="16" w:name="_Hlk180616875"/>
    <w:bookmarkStart w:id="17" w:name="_Hlk180616876"/>
    <w:r>
      <w:rPr>
        <w:noProof/>
      </w:rPr>
      <w:drawing>
        <wp:inline distT="0" distB="0" distL="0" distR="0" wp14:anchorId="47D3CB32" wp14:editId="23270CD1">
          <wp:extent cx="2994764" cy="361950"/>
          <wp:effectExtent l="0" t="0" r="0" b="0"/>
          <wp:docPr id="65680479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3422" cy="36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bookmarkStart w:id="18" w:name="_Hlk196830045"/>
    <w:r>
      <w:rPr>
        <w:rFonts w:ascii="Cambria" w:hAnsi="Cambria"/>
        <w:b/>
        <w:bCs/>
        <w:color w:val="808080" w:themeColor="background1" w:themeShade="80"/>
        <w:sz w:val="36"/>
        <w:szCs w:val="36"/>
      </w:rPr>
      <w:t>PŘÍLOHA č. 1</w:t>
    </w:r>
    <w:r w:rsidR="006126A9">
      <w:rPr>
        <w:rFonts w:ascii="Cambria" w:hAnsi="Cambria"/>
        <w:b/>
        <w:bCs/>
        <w:color w:val="808080" w:themeColor="background1" w:themeShade="80"/>
        <w:sz w:val="36"/>
        <w:szCs w:val="36"/>
      </w:rPr>
      <w:t>g</w:t>
    </w:r>
    <w:r w:rsidR="0084697B">
      <w:rPr>
        <w:rFonts w:ascii="Cambria" w:hAnsi="Cambria"/>
        <w:b/>
        <w:bCs/>
        <w:color w:val="808080" w:themeColor="background1" w:themeShade="80"/>
        <w:sz w:val="36"/>
        <w:szCs w:val="36"/>
      </w:rPr>
      <w:t>a</w:t>
    </w:r>
  </w:p>
  <w:p w14:paraId="61D94CD0" w14:textId="080271FB" w:rsidR="008B46EA" w:rsidRPr="002605D2" w:rsidRDefault="002605D2" w:rsidP="002605D2">
    <w:pPr>
      <w:pStyle w:val="Zhlav"/>
      <w:jc w:val="right"/>
      <w:rPr>
        <w:sz w:val="32"/>
        <w:szCs w:val="32"/>
      </w:rPr>
    </w:pP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ZADÁVACÍ </w:t>
    </w:r>
    <w:r w:rsidRPr="00206901">
      <w:rPr>
        <w:rFonts w:ascii="Cambria" w:hAnsi="Cambria"/>
        <w:b/>
        <w:bCs/>
        <w:color w:val="808080" w:themeColor="background1" w:themeShade="80"/>
        <w:sz w:val="36"/>
        <w:szCs w:val="36"/>
      </w:rPr>
      <w:t>DOKUMENTACE</w:t>
    </w:r>
    <w:bookmarkEnd w:id="16"/>
    <w:bookmarkEnd w:id="17"/>
    <w:bookmarkEnd w:id="18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E6CA4" w14:textId="77777777" w:rsidR="006126A9" w:rsidRDefault="006126A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3CA0DB8"/>
    <w:multiLevelType w:val="multilevel"/>
    <w:tmpl w:val="EE04D24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87E7A36"/>
    <w:multiLevelType w:val="multilevel"/>
    <w:tmpl w:val="8B42EEA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0AA46ED6"/>
    <w:multiLevelType w:val="multilevel"/>
    <w:tmpl w:val="A89E393C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0E9050E2"/>
    <w:multiLevelType w:val="multilevel"/>
    <w:tmpl w:val="46E0764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0221F3B"/>
    <w:multiLevelType w:val="multilevel"/>
    <w:tmpl w:val="0405001F"/>
    <w:styleLink w:val="Styl2"/>
    <w:lvl w:ilvl="0">
      <w:start w:val="6"/>
      <w:numFmt w:val="decimal"/>
      <w:pStyle w:val="Styl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15330AE0"/>
    <w:multiLevelType w:val="multilevel"/>
    <w:tmpl w:val="C4487930"/>
    <w:lvl w:ilvl="0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82289"/>
    <w:multiLevelType w:val="multilevel"/>
    <w:tmpl w:val="5AE0DC22"/>
    <w:lvl w:ilvl="0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0A41BD"/>
    <w:multiLevelType w:val="multilevel"/>
    <w:tmpl w:val="4F363AA0"/>
    <w:lvl w:ilvl="0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22F01122"/>
    <w:multiLevelType w:val="hybridMultilevel"/>
    <w:tmpl w:val="53E6301E"/>
    <w:lvl w:ilvl="0" w:tplc="040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0431F6"/>
    <w:multiLevelType w:val="multilevel"/>
    <w:tmpl w:val="BB0647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83D5F7A"/>
    <w:multiLevelType w:val="multilevel"/>
    <w:tmpl w:val="1616C95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2A621AC6"/>
    <w:multiLevelType w:val="hybridMultilevel"/>
    <w:tmpl w:val="C660E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BB7032"/>
    <w:multiLevelType w:val="hybridMultilevel"/>
    <w:tmpl w:val="7A28D190"/>
    <w:lvl w:ilvl="0" w:tplc="CD889A5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5265BA"/>
    <w:multiLevelType w:val="multilevel"/>
    <w:tmpl w:val="9E12B2B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412034B0"/>
    <w:multiLevelType w:val="multilevel"/>
    <w:tmpl w:val="14A20BC4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635B38"/>
    <w:multiLevelType w:val="multilevel"/>
    <w:tmpl w:val="924C146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4E7221A4"/>
    <w:multiLevelType w:val="multilevel"/>
    <w:tmpl w:val="A356958A"/>
    <w:lvl w:ilvl="0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1113AD2"/>
    <w:multiLevelType w:val="multilevel"/>
    <w:tmpl w:val="B40CA296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1BB4A80"/>
    <w:multiLevelType w:val="multilevel"/>
    <w:tmpl w:val="B08A3C4A"/>
    <w:lvl w:ilvl="0">
      <w:start w:val="2"/>
      <w:numFmt w:val="decimal"/>
      <w:pStyle w:val="Nadpis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584507DA"/>
    <w:multiLevelType w:val="multilevel"/>
    <w:tmpl w:val="C4C6549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5BC97C7C"/>
    <w:multiLevelType w:val="multilevel"/>
    <w:tmpl w:val="D51C30A2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61885CC7"/>
    <w:multiLevelType w:val="multilevel"/>
    <w:tmpl w:val="0A801502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FE1474"/>
    <w:multiLevelType w:val="multilevel"/>
    <w:tmpl w:val="B6FA467A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62603FEF"/>
    <w:multiLevelType w:val="multilevel"/>
    <w:tmpl w:val="FF10C77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8" w15:restartNumberingAfterBreak="0">
    <w:nsid w:val="64B82872"/>
    <w:multiLevelType w:val="multilevel"/>
    <w:tmpl w:val="A4E8D8D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66273A0D"/>
    <w:multiLevelType w:val="multilevel"/>
    <w:tmpl w:val="8D6629BE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 w:hint="default"/>
      </w:rPr>
    </w:lvl>
  </w:abstractNum>
  <w:abstractNum w:abstractNumId="30" w15:restartNumberingAfterBreak="0">
    <w:nsid w:val="67AB5411"/>
    <w:multiLevelType w:val="multilevel"/>
    <w:tmpl w:val="A4B6672A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9A11786"/>
    <w:multiLevelType w:val="multilevel"/>
    <w:tmpl w:val="2C5E6DA4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32" w15:restartNumberingAfterBreak="0">
    <w:nsid w:val="70082666"/>
    <w:multiLevelType w:val="hybridMultilevel"/>
    <w:tmpl w:val="7CCC3A48"/>
    <w:lvl w:ilvl="0" w:tplc="B1827BEA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4B3C8C"/>
    <w:multiLevelType w:val="multilevel"/>
    <w:tmpl w:val="1B062D84"/>
    <w:lvl w:ilvl="0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C964A3"/>
    <w:multiLevelType w:val="multilevel"/>
    <w:tmpl w:val="0626509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72DB7CAE"/>
    <w:multiLevelType w:val="multilevel"/>
    <w:tmpl w:val="EB20B88A"/>
    <w:lvl w:ilvl="0">
      <w:start w:val="1"/>
      <w:numFmt w:val="bullet"/>
      <w:lvlRestart w:val="0"/>
      <w:pStyle w:val="Odrkazelen"/>
      <w:lvlText w:val="-"/>
      <w:lvlJc w:val="left"/>
      <w:pPr>
        <w:ind w:left="720" w:hanging="360"/>
      </w:pPr>
      <w:rPr>
        <w:rFonts w:ascii="Calibri" w:hAnsi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7F2B29"/>
    <w:multiLevelType w:val="multilevel"/>
    <w:tmpl w:val="2222F56A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7" w15:restartNumberingAfterBreak="0">
    <w:nsid w:val="745BB3B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75AE612A"/>
    <w:multiLevelType w:val="multilevel"/>
    <w:tmpl w:val="B50E7C9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94B077B"/>
    <w:multiLevelType w:val="multilevel"/>
    <w:tmpl w:val="70AE677E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 w15:restartNumberingAfterBreak="0">
    <w:nsid w:val="7C383BC3"/>
    <w:multiLevelType w:val="multilevel"/>
    <w:tmpl w:val="AD8C659A"/>
    <w:lvl w:ilvl="0">
      <w:start w:val="1"/>
      <w:numFmt w:val="bullet"/>
      <w:pStyle w:val="Heading21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7926DD"/>
    <w:multiLevelType w:val="multilevel"/>
    <w:tmpl w:val="48789B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1113598647">
    <w:abstractNumId w:val="18"/>
  </w:num>
  <w:num w:numId="2" w16cid:durableId="1406878354">
    <w:abstractNumId w:val="35"/>
  </w:num>
  <w:num w:numId="3" w16cid:durableId="1250308673">
    <w:abstractNumId w:val="22"/>
  </w:num>
  <w:num w:numId="4" w16cid:durableId="2107654954">
    <w:abstractNumId w:val="14"/>
  </w:num>
  <w:num w:numId="5" w16cid:durableId="1782645390">
    <w:abstractNumId w:val="38"/>
  </w:num>
  <w:num w:numId="6" w16cid:durableId="836044315">
    <w:abstractNumId w:val="31"/>
  </w:num>
  <w:num w:numId="7" w16cid:durableId="275450543">
    <w:abstractNumId w:val="8"/>
  </w:num>
  <w:num w:numId="8" w16cid:durableId="738098326">
    <w:abstractNumId w:val="9"/>
  </w:num>
  <w:num w:numId="9" w16cid:durableId="2051496372">
    <w:abstractNumId w:val="29"/>
  </w:num>
  <w:num w:numId="10" w16cid:durableId="1430542382">
    <w:abstractNumId w:val="27"/>
  </w:num>
  <w:num w:numId="11" w16cid:durableId="597059198">
    <w:abstractNumId w:val="19"/>
  </w:num>
  <w:num w:numId="12" w16cid:durableId="1883789243">
    <w:abstractNumId w:val="40"/>
  </w:num>
  <w:num w:numId="13" w16cid:durableId="179634557">
    <w:abstractNumId w:val="4"/>
  </w:num>
  <w:num w:numId="14" w16cid:durableId="1631862888">
    <w:abstractNumId w:val="39"/>
  </w:num>
  <w:num w:numId="15" w16cid:durableId="104927070">
    <w:abstractNumId w:val="5"/>
  </w:num>
  <w:num w:numId="16" w16cid:durableId="2053336840">
    <w:abstractNumId w:val="28"/>
  </w:num>
  <w:num w:numId="17" w16cid:durableId="1319725556">
    <w:abstractNumId w:val="6"/>
  </w:num>
  <w:num w:numId="18" w16cid:durableId="768696963">
    <w:abstractNumId w:val="7"/>
  </w:num>
  <w:num w:numId="19" w16cid:durableId="1443844201">
    <w:abstractNumId w:val="41"/>
  </w:num>
  <w:num w:numId="20" w16cid:durableId="1841657407">
    <w:abstractNumId w:val="17"/>
  </w:num>
  <w:num w:numId="21" w16cid:durableId="550651546">
    <w:abstractNumId w:val="24"/>
  </w:num>
  <w:num w:numId="22" w16cid:durableId="154611341">
    <w:abstractNumId w:val="23"/>
  </w:num>
  <w:num w:numId="23" w16cid:durableId="1486628310">
    <w:abstractNumId w:val="21"/>
  </w:num>
  <w:num w:numId="24" w16cid:durableId="1104770207">
    <w:abstractNumId w:val="20"/>
  </w:num>
  <w:num w:numId="25" w16cid:durableId="143474504">
    <w:abstractNumId w:val="36"/>
  </w:num>
  <w:num w:numId="26" w16cid:durableId="921841508">
    <w:abstractNumId w:val="30"/>
  </w:num>
  <w:num w:numId="27" w16cid:durableId="1184897834">
    <w:abstractNumId w:val="26"/>
  </w:num>
  <w:num w:numId="28" w16cid:durableId="1597984364">
    <w:abstractNumId w:val="33"/>
  </w:num>
  <w:num w:numId="29" w16cid:durableId="529104110">
    <w:abstractNumId w:val="25"/>
  </w:num>
  <w:num w:numId="30" w16cid:durableId="753861449">
    <w:abstractNumId w:val="10"/>
  </w:num>
  <w:num w:numId="31" w16cid:durableId="1911768362">
    <w:abstractNumId w:val="34"/>
  </w:num>
  <w:num w:numId="32" w16cid:durableId="469978254">
    <w:abstractNumId w:val="11"/>
  </w:num>
  <w:num w:numId="33" w16cid:durableId="1740401890">
    <w:abstractNumId w:val="37"/>
  </w:num>
  <w:num w:numId="34" w16cid:durableId="1965307797">
    <w:abstractNumId w:val="16"/>
  </w:num>
  <w:num w:numId="35" w16cid:durableId="483132104">
    <w:abstractNumId w:val="15"/>
  </w:num>
  <w:num w:numId="36" w16cid:durableId="532351979">
    <w:abstractNumId w:val="12"/>
  </w:num>
  <w:num w:numId="37" w16cid:durableId="1058168186">
    <w:abstractNumId w:val="32"/>
  </w:num>
  <w:num w:numId="38" w16cid:durableId="1333291740">
    <w:abstractNumId w:val="0"/>
  </w:num>
  <w:num w:numId="39" w16cid:durableId="1425346881">
    <w:abstractNumId w:val="1"/>
  </w:num>
  <w:num w:numId="40" w16cid:durableId="1797942206">
    <w:abstractNumId w:val="2"/>
  </w:num>
  <w:num w:numId="41" w16cid:durableId="1462961509">
    <w:abstractNumId w:val="3"/>
  </w:num>
  <w:num w:numId="42" w16cid:durableId="128281312">
    <w:abstractNumId w:val="13"/>
  </w:num>
  <w:num w:numId="43" w16cid:durableId="5277149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257154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905238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442109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995871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3341451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91793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5121404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ISOD_ATTACHMENTS" w:val="Není k dispozici"/>
    <w:docVar w:name="EISOD_ATTACHMENTS_COUNT" w:val="0"/>
    <w:docVar w:name="EISOD_CISLO_KARTY" w:val="286228"/>
    <w:docVar w:name="EISOD_DOC_KLASIFIKACE" w:val="Hodnota není v tomto okamžiku k dispozici"/>
    <w:docVar w:name="EISOD_DOC_KONECNA_PLATNOST" w:val="Hodnota není v tomto okamžiku k dispozici"/>
    <w:docVar w:name="EISOD_DOC_NAME" w:val="A7 1.01. 1.03- Fyzická infrastruktura"/>
    <w:docVar w:name="EISOD_DOC_NAME_BEZ_PRIPONY" w:val="A7 1.01. 1.03- Fyzická infrastruktura"/>
    <w:docVar w:name="EISOD_DOC_OFZMPROTOKOL" w:val="Vytvořena nová verze dokumentu"/>
    <w:docVar w:name="EISOD_DOC_SOUVISEJICI_DOKUMENTY" w:val="Není k dispozici"/>
    <w:docVar w:name="EISOD_DOC_TYP" w:val="Hodnota není v tomto okamžiku k dispozici"/>
    <w:docVar w:name="EISOD_DOCUMENT_STATE" w:val="Aktuální"/>
    <w:docVar w:name="EISOD_LANGUAGE_MUTATIONS" w:val="Není k dispozici"/>
    <w:docVar w:name="EISOD_LAST_REVISION_DATE" w:val="24. 1. 2025"/>
    <w:docVar w:name="EISOD_NADRIZENY_DOKUMENT" w:val="Není k dispozici"/>
    <w:docVar w:name="EISOD_NEW_LAST_REVISION_DATE" w:val="24. 1. 2025"/>
    <w:docVar w:name="EISOD_PODRIZENE_DOKUMENTY" w:val="Není k dispozici"/>
    <w:docVar w:name="EISOD_REVISION_NUMBER" w:val="4.0"/>
  </w:docVars>
  <w:rsids>
    <w:rsidRoot w:val="008B46EA"/>
    <w:rsid w:val="000054D3"/>
    <w:rsid w:val="00005942"/>
    <w:rsid w:val="000262DD"/>
    <w:rsid w:val="00076020"/>
    <w:rsid w:val="00093FD3"/>
    <w:rsid w:val="000972BF"/>
    <w:rsid w:val="00097659"/>
    <w:rsid w:val="000A22B1"/>
    <w:rsid w:val="000C6DE5"/>
    <w:rsid w:val="000F54B9"/>
    <w:rsid w:val="000F5E40"/>
    <w:rsid w:val="000F711E"/>
    <w:rsid w:val="0010176A"/>
    <w:rsid w:val="00122AB2"/>
    <w:rsid w:val="00127A7C"/>
    <w:rsid w:val="0017218D"/>
    <w:rsid w:val="00193057"/>
    <w:rsid w:val="001A52F5"/>
    <w:rsid w:val="001B57F6"/>
    <w:rsid w:val="001D18A2"/>
    <w:rsid w:val="001F6F2B"/>
    <w:rsid w:val="00201181"/>
    <w:rsid w:val="00253D58"/>
    <w:rsid w:val="00256613"/>
    <w:rsid w:val="002573D5"/>
    <w:rsid w:val="002605D2"/>
    <w:rsid w:val="0027742B"/>
    <w:rsid w:val="00285B95"/>
    <w:rsid w:val="00285D44"/>
    <w:rsid w:val="00293CC2"/>
    <w:rsid w:val="002A2044"/>
    <w:rsid w:val="002B4DD7"/>
    <w:rsid w:val="002C7345"/>
    <w:rsid w:val="002E303B"/>
    <w:rsid w:val="00304F49"/>
    <w:rsid w:val="00310749"/>
    <w:rsid w:val="00310A68"/>
    <w:rsid w:val="0031390F"/>
    <w:rsid w:val="00320996"/>
    <w:rsid w:val="00322B9B"/>
    <w:rsid w:val="00330AA3"/>
    <w:rsid w:val="003519FF"/>
    <w:rsid w:val="0036540B"/>
    <w:rsid w:val="00377601"/>
    <w:rsid w:val="003779AA"/>
    <w:rsid w:val="003A5A50"/>
    <w:rsid w:val="003D05A9"/>
    <w:rsid w:val="003D0F24"/>
    <w:rsid w:val="003D1FA8"/>
    <w:rsid w:val="003D6A0C"/>
    <w:rsid w:val="003F5C65"/>
    <w:rsid w:val="004038A7"/>
    <w:rsid w:val="00423289"/>
    <w:rsid w:val="0042587B"/>
    <w:rsid w:val="00440D2F"/>
    <w:rsid w:val="004733B5"/>
    <w:rsid w:val="004904D3"/>
    <w:rsid w:val="00490DBF"/>
    <w:rsid w:val="00495983"/>
    <w:rsid w:val="004A3AA3"/>
    <w:rsid w:val="004E2582"/>
    <w:rsid w:val="00533E91"/>
    <w:rsid w:val="00553708"/>
    <w:rsid w:val="00560946"/>
    <w:rsid w:val="00564B79"/>
    <w:rsid w:val="00570725"/>
    <w:rsid w:val="005A6D43"/>
    <w:rsid w:val="005C7256"/>
    <w:rsid w:val="005E012C"/>
    <w:rsid w:val="005F2F67"/>
    <w:rsid w:val="006037D1"/>
    <w:rsid w:val="00611062"/>
    <w:rsid w:val="006126A9"/>
    <w:rsid w:val="00623F76"/>
    <w:rsid w:val="00653039"/>
    <w:rsid w:val="00662CF4"/>
    <w:rsid w:val="006A66B2"/>
    <w:rsid w:val="006C13E3"/>
    <w:rsid w:val="0070463F"/>
    <w:rsid w:val="00707B52"/>
    <w:rsid w:val="0071148D"/>
    <w:rsid w:val="0071627C"/>
    <w:rsid w:val="00731DE2"/>
    <w:rsid w:val="007363CC"/>
    <w:rsid w:val="0074721D"/>
    <w:rsid w:val="007618EB"/>
    <w:rsid w:val="0078070D"/>
    <w:rsid w:val="00782B76"/>
    <w:rsid w:val="0079431A"/>
    <w:rsid w:val="007A1F88"/>
    <w:rsid w:val="007C3D3D"/>
    <w:rsid w:val="007E3915"/>
    <w:rsid w:val="00804BED"/>
    <w:rsid w:val="00812121"/>
    <w:rsid w:val="00812E1F"/>
    <w:rsid w:val="00820A44"/>
    <w:rsid w:val="0084697B"/>
    <w:rsid w:val="00847D04"/>
    <w:rsid w:val="00853272"/>
    <w:rsid w:val="00853BC0"/>
    <w:rsid w:val="008835ED"/>
    <w:rsid w:val="00895C8C"/>
    <w:rsid w:val="008A096C"/>
    <w:rsid w:val="008A0C89"/>
    <w:rsid w:val="008A173B"/>
    <w:rsid w:val="008A586C"/>
    <w:rsid w:val="008B46EA"/>
    <w:rsid w:val="008C4504"/>
    <w:rsid w:val="008D762B"/>
    <w:rsid w:val="008F0817"/>
    <w:rsid w:val="008F6770"/>
    <w:rsid w:val="00917BC9"/>
    <w:rsid w:val="00951A97"/>
    <w:rsid w:val="009616C4"/>
    <w:rsid w:val="00976531"/>
    <w:rsid w:val="00977597"/>
    <w:rsid w:val="009A2442"/>
    <w:rsid w:val="009A7B6B"/>
    <w:rsid w:val="009C7DBB"/>
    <w:rsid w:val="009E3C4F"/>
    <w:rsid w:val="009F29A2"/>
    <w:rsid w:val="00A1055E"/>
    <w:rsid w:val="00A32A06"/>
    <w:rsid w:val="00A46F30"/>
    <w:rsid w:val="00A5336C"/>
    <w:rsid w:val="00AB420E"/>
    <w:rsid w:val="00AB485F"/>
    <w:rsid w:val="00AB7551"/>
    <w:rsid w:val="00AC75A0"/>
    <w:rsid w:val="00AD1737"/>
    <w:rsid w:val="00AD27E8"/>
    <w:rsid w:val="00B017CA"/>
    <w:rsid w:val="00B13A69"/>
    <w:rsid w:val="00B221EF"/>
    <w:rsid w:val="00B26AD6"/>
    <w:rsid w:val="00B33FFF"/>
    <w:rsid w:val="00B41AAD"/>
    <w:rsid w:val="00B42C67"/>
    <w:rsid w:val="00B47A82"/>
    <w:rsid w:val="00B50C1F"/>
    <w:rsid w:val="00B71536"/>
    <w:rsid w:val="00BA1B28"/>
    <w:rsid w:val="00C1031C"/>
    <w:rsid w:val="00C31795"/>
    <w:rsid w:val="00C42A3F"/>
    <w:rsid w:val="00C71B69"/>
    <w:rsid w:val="00C97DE4"/>
    <w:rsid w:val="00CA0A40"/>
    <w:rsid w:val="00CC4622"/>
    <w:rsid w:val="00CF3AD3"/>
    <w:rsid w:val="00D15A88"/>
    <w:rsid w:val="00D37D6E"/>
    <w:rsid w:val="00D75688"/>
    <w:rsid w:val="00D8399C"/>
    <w:rsid w:val="00D950B2"/>
    <w:rsid w:val="00DB67A6"/>
    <w:rsid w:val="00DC7DD7"/>
    <w:rsid w:val="00DF4DAB"/>
    <w:rsid w:val="00E45D41"/>
    <w:rsid w:val="00E8332C"/>
    <w:rsid w:val="00E95512"/>
    <w:rsid w:val="00EB099A"/>
    <w:rsid w:val="00EB4028"/>
    <w:rsid w:val="00EC0A1C"/>
    <w:rsid w:val="00EC4FA1"/>
    <w:rsid w:val="00EC64C6"/>
    <w:rsid w:val="00ED51BC"/>
    <w:rsid w:val="00EE259E"/>
    <w:rsid w:val="00EE76BA"/>
    <w:rsid w:val="00F008C6"/>
    <w:rsid w:val="00F13246"/>
    <w:rsid w:val="00F15882"/>
    <w:rsid w:val="00F31F9D"/>
    <w:rsid w:val="00F44C72"/>
    <w:rsid w:val="00F645A6"/>
    <w:rsid w:val="00F83382"/>
    <w:rsid w:val="00F938C8"/>
    <w:rsid w:val="00FD048D"/>
    <w:rsid w:val="00FD1C4F"/>
    <w:rsid w:val="00FD283F"/>
    <w:rsid w:val="00FE62A9"/>
    <w:rsid w:val="00FF0DED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C3C0E"/>
  <w15:docId w15:val="{8403EB59-ECA7-40AF-88DE-255E17A2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numPr>
        <w:numId w:val="3"/>
      </w:numPr>
      <w:pBdr>
        <w:bottom w:val="single" w:sz="4" w:space="1" w:color="E48312" w:themeColor="accent1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9616C4"/>
    <w:pPr>
      <w:keepNext/>
      <w:keepLines/>
      <w:spacing w:before="160" w:after="0" w:line="240" w:lineRule="auto"/>
      <w:outlineLvl w:val="1"/>
    </w:pPr>
    <w:rPr>
      <w:b/>
      <w:caps/>
      <w:color w:val="AA610D" w:themeColor="accent1" w:themeShade="BF"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,Podpodkapitola,adpis 3,H3,Nadpis_3_úroveň,ASAPHeading 3,Sub Paragraph,Podkapitola21,1.1.1,Podkapitola 2,Podkapitola 21,Podkapitola 22"/>
    <w:basedOn w:val="Normln"/>
    <w:next w:val="Normln"/>
    <w:link w:val="Nadpis3Char"/>
    <w:unhideWhenUsed/>
    <w:qFormat/>
    <w:rsid w:val="009616C4"/>
    <w:pPr>
      <w:keepNext/>
      <w:keepLines/>
      <w:spacing w:before="120" w:after="0" w:line="240" w:lineRule="auto"/>
      <w:outlineLvl w:val="2"/>
    </w:pPr>
    <w:rPr>
      <w:i/>
      <w:color w:val="AA610D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3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3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3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3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3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3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3B66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0997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9783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B79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D7B4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C7B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8D1E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D8D1E" w:themeColor="accent1" w:themeTint="EA"/>
          <w:left w:val="single" w:sz="4" w:space="0" w:color="ED8D1E" w:themeColor="accent1" w:themeTint="EA"/>
          <w:bottom w:val="single" w:sz="4" w:space="0" w:color="ED8D1E" w:themeColor="accent1" w:themeTint="EA"/>
          <w:right w:val="single" w:sz="4" w:space="0" w:color="ED8D1E" w:themeColor="accent1" w:themeTint="EA"/>
        </w:tcBorders>
        <w:shd w:val="clear" w:color="ED8D1E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6CE" w:fill="FBE6C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6CE" w:fill="FBE6CE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9879" w:themeColor="accent2" w:themeTint="97"/>
          <w:left w:val="single" w:sz="4" w:space="0" w:color="E09879" w:themeColor="accent2" w:themeTint="97"/>
          <w:bottom w:val="single" w:sz="4" w:space="0" w:color="E09879" w:themeColor="accent2" w:themeTint="97"/>
          <w:right w:val="single" w:sz="4" w:space="0" w:color="E09879" w:themeColor="accent2" w:themeTint="97"/>
        </w:tcBorders>
        <w:shd w:val="clear" w:color="E09879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65640" w:themeColor="accent3" w:themeTint="FE"/>
          <w:left w:val="single" w:sz="4" w:space="0" w:color="865640" w:themeColor="accent3" w:themeTint="FE"/>
          <w:bottom w:val="single" w:sz="4" w:space="0" w:color="865640" w:themeColor="accent3" w:themeTint="FE"/>
          <w:right w:val="single" w:sz="4" w:space="0" w:color="865640" w:themeColor="accent3" w:themeTint="FE"/>
        </w:tcBorders>
        <w:shd w:val="clear" w:color="865640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4B497" w:themeColor="accent4" w:themeTint="9A"/>
          <w:left w:val="single" w:sz="4" w:space="0" w:color="C4B497" w:themeColor="accent4" w:themeTint="9A"/>
          <w:bottom w:val="single" w:sz="4" w:space="0" w:color="C4B497" w:themeColor="accent4" w:themeTint="9A"/>
          <w:right w:val="single" w:sz="4" w:space="0" w:color="C4B497" w:themeColor="accent4" w:themeTint="9A"/>
        </w:tcBorders>
        <w:shd w:val="clear" w:color="C4B497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CC" w:fill="FBE5C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band1Vert">
      <w:tblPr/>
      <w:tcPr>
        <w:shd w:val="clear" w:color="F6C68E" w:fill="F6C68E"/>
      </w:tcPr>
    </w:tblStylePr>
    <w:tblStylePr w:type="band1Horz">
      <w:tblPr/>
      <w:tcPr>
        <w:shd w:val="clear" w:color="F6C68E" w:fill="F6C68E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DD2" w:fill="F4DDD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band1Vert">
      <w:tblPr/>
      <w:tcPr>
        <w:shd w:val="clear" w:color="E7AF97" w:fill="E7AF97"/>
      </w:tcPr>
    </w:tblStylePr>
    <w:tblStylePr w:type="band1Horz">
      <w:tblPr/>
      <w:tcPr>
        <w:shd w:val="clear" w:color="E7AF97" w:fill="E7AF97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DAD3" w:fill="EADAD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band1Vert">
      <w:tblPr/>
      <w:tcPr>
        <w:shd w:val="clear" w:color="D0AD9E" w:fill="D0AD9E"/>
      </w:tcPr>
    </w:tblStylePr>
    <w:tblStylePr w:type="band1Horz">
      <w:tblPr/>
      <w:tcPr>
        <w:shd w:val="clear" w:color="D0AD9E" w:fill="D0AD9E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E5DC" w:fill="EBE5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band1Vert">
      <w:tblPr/>
      <w:tcPr>
        <w:shd w:val="clear" w:color="D2C6B0" w:fill="D2C6B0"/>
      </w:tcPr>
    </w:tblStylePr>
    <w:tblStylePr w:type="band1Horz">
      <w:tblPr/>
      <w:tcPr>
        <w:shd w:val="clear" w:color="D2C6B0" w:fill="D2C6B0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F1E4" w:fill="F2F1E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band1Vert">
      <w:tblPr/>
      <w:tcPr>
        <w:shd w:val="clear" w:color="E3E0C4" w:fill="E3E0C4"/>
      </w:tcPr>
    </w:tblStylePr>
    <w:tblStylePr w:type="band1Horz">
      <w:tblPr/>
      <w:tcPr>
        <w:shd w:val="clear" w:color="E3E0C4" w:fill="E3E0C4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BE6" w:fill="E9EBE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band1Vert">
      <w:tblPr/>
      <w:tcPr>
        <w:shd w:val="clear" w:color="CDD3C8" w:fill="CDD3C8"/>
      </w:tcPr>
    </w:tblStylePr>
    <w:tblStylePr w:type="band1Horz">
      <w:tblPr/>
      <w:tcPr>
        <w:shd w:val="clear" w:color="CDD3C8" w:fill="CDD3C8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F5C084" w:themeColor="accent1" w:themeTint="80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 w:themeTint="FE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5C084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single" w:sz="4" w:space="0" w:color="F5C084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5C084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F5C084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CD8B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DCD8B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C9BB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C2C9BB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565F4C" w:themeColor="accent6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/>
      </w:tcPr>
    </w:tblStylePr>
    <w:tblStylePr w:type="band1Horz">
      <w:tblPr/>
      <w:tcPr>
        <w:shd w:val="clear" w:color="FADFC1" w:fill="FADFC1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/>
      </w:tcPr>
    </w:tblStylePr>
    <w:tblStylePr w:type="band1Horz">
      <w:tblPr/>
      <w:tcPr>
        <w:shd w:val="clear" w:color="F2D3C6" w:fill="F2D3C6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/>
      </w:tcPr>
    </w:tblStylePr>
    <w:tblStylePr w:type="band1Horz">
      <w:tblPr/>
      <w:tcPr>
        <w:shd w:val="clear" w:color="E5D2CA" w:fill="E5D2CA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/>
      </w:tcPr>
    </w:tblStylePr>
    <w:tblStylePr w:type="band1Horz">
      <w:tblPr/>
      <w:tcPr>
        <w:shd w:val="clear" w:color="E6E0D3" w:fill="E6E0D3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/>
      </w:tcPr>
    </w:tblStylePr>
    <w:tblStylePr w:type="band1Horz">
      <w:tblPr/>
      <w:tcPr>
        <w:shd w:val="clear" w:color="EFEED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/>
      </w:tcPr>
    </w:tblStylePr>
    <w:tblStylePr w:type="band1Horz">
      <w:tblPr/>
      <w:tcPr>
        <w:shd w:val="clear" w:color="E3E7E0" w:fill="E3E7E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9879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9879" w:themeColor="accent2" w:themeTint="97"/>
          <w:right w:val="single" w:sz="4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9879" w:themeColor="accent2" w:themeTint="97"/>
          <w:bottom w:val="single" w:sz="4" w:space="0" w:color="E09879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9581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29581" w:themeColor="accent3" w:themeTint="98"/>
          <w:right w:val="single" w:sz="4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29581" w:themeColor="accent3" w:themeTint="98"/>
          <w:bottom w:val="single" w:sz="4" w:space="0" w:color="C29581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B497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B497" w:themeColor="accent4" w:themeTint="9A"/>
          <w:right w:val="single" w:sz="4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B497" w:themeColor="accent4" w:themeTint="9A"/>
          <w:bottom w:val="single" w:sz="4" w:space="0" w:color="C4B497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D6B2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D6B2" w:themeColor="accent5" w:themeTint="9A"/>
          <w:right w:val="single" w:sz="4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6B2" w:themeColor="accent5" w:themeTint="9A"/>
          <w:bottom w:val="single" w:sz="4" w:space="0" w:color="DAD6B2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FC6B8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FC6B8" w:themeColor="accent6" w:themeTint="98"/>
          <w:right w:val="single" w:sz="4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C6B8" w:themeColor="accent6" w:themeTint="98"/>
          <w:bottom w:val="single" w:sz="4" w:space="0" w:color="BFC6B8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  <w:shd w:val="clear" w:color="E48312" w:fill="E4831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  <w:shd w:val="clear" w:color="E09879" w:fill="E09879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9879" w:themeColor="accent2" w:themeTint="97"/>
          <w:bottom w:val="single" w:sz="12" w:space="0" w:color="FFFFFF" w:themeColor="light1"/>
        </w:tcBorders>
        <w:shd w:val="clear" w:color="E09879" w:fill="E0987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987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987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  <w:shd w:val="clear" w:color="C29581" w:fill="C2958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29581" w:themeColor="accent3" w:themeTint="98"/>
          <w:bottom w:val="single" w:sz="12" w:space="0" w:color="FFFFFF" w:themeColor="light1"/>
        </w:tcBorders>
        <w:shd w:val="clear" w:color="C29581" w:fill="C2958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29581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9581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  <w:shd w:val="clear" w:color="C4B497" w:fill="C4B4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B497" w:themeColor="accent4" w:themeTint="9A"/>
          <w:bottom w:val="single" w:sz="12" w:space="0" w:color="FFFFFF" w:themeColor="light1"/>
        </w:tcBorders>
        <w:shd w:val="clear" w:color="C4B497" w:fill="C4B4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B49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B49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  <w:shd w:val="clear" w:color="DAD6B2" w:fill="DAD6B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D6B2" w:themeColor="accent5" w:themeTint="9A"/>
          <w:bottom w:val="single" w:sz="12" w:space="0" w:color="FFFFFF" w:themeColor="light1"/>
        </w:tcBorders>
        <w:shd w:val="clear" w:color="DAD6B2" w:fill="DAD6B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D6B2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D6B2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  <w:shd w:val="clear" w:color="BFC6B8" w:fill="BFC6B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FC6B8" w:themeColor="accent6" w:themeTint="98"/>
          <w:bottom w:val="single" w:sz="12" w:space="0" w:color="FFFFFF" w:themeColor="light1"/>
        </w:tcBorders>
        <w:shd w:val="clear" w:color="BFC6B8" w:fill="BFC6B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FC6B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FC6B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C29581" w:themeColor="accent3" w:themeTint="98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C29581" w:themeColor="accent3" w:themeTint="98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DAD6B2" w:themeColor="accent5" w:themeTint="9A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DAD6B2" w:themeColor="accent5" w:themeTint="9A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BFC6B8" w:themeColor="accent6" w:themeTint="98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BFC6B8" w:themeColor="accent6" w:themeTint="98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9581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single" w:sz="4" w:space="0" w:color="C29581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9581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29581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D6B2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single" w:sz="4" w:space="0" w:color="DAD6B2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D6B2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AD6B2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FC6B8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single" w:sz="4" w:space="0" w:color="BFC6B8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FC6B8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BFC6B8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54C0A" w:themeColor="accent1" w:themeShade="95"/>
        <w:left w:val="single" w:sz="4" w:space="0" w:color="854C0A" w:themeColor="accent1" w:themeShade="95"/>
        <w:bottom w:val="single" w:sz="4" w:space="0" w:color="854C0A" w:themeColor="accent1" w:themeShade="95"/>
        <w:right w:val="single" w:sz="4" w:space="0" w:color="854C0A" w:themeColor="accent1" w:themeShade="95"/>
        <w:insideH w:val="single" w:sz="4" w:space="0" w:color="854C0A" w:themeColor="accent1" w:themeShade="95"/>
        <w:insideV w:val="single" w:sz="4" w:space="0" w:color="854C0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E3319" w:themeColor="accent2" w:themeShade="95"/>
        <w:left w:val="single" w:sz="4" w:space="0" w:color="6E3319" w:themeColor="accent2" w:themeShade="95"/>
        <w:bottom w:val="single" w:sz="4" w:space="0" w:color="6E3319" w:themeColor="accent2" w:themeShade="95"/>
        <w:right w:val="single" w:sz="4" w:space="0" w:color="6E3319" w:themeColor="accent2" w:themeShade="95"/>
        <w:insideH w:val="single" w:sz="4" w:space="0" w:color="6E3319" w:themeColor="accent2" w:themeShade="95"/>
        <w:insideV w:val="single" w:sz="4" w:space="0" w:color="6E331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E3225" w:themeColor="accent3" w:themeShade="95"/>
        <w:left w:val="single" w:sz="4" w:space="0" w:color="4E3225" w:themeColor="accent3" w:themeShade="95"/>
        <w:bottom w:val="single" w:sz="4" w:space="0" w:color="4E3225" w:themeColor="accent3" w:themeShade="95"/>
        <w:right w:val="single" w:sz="4" w:space="0" w:color="4E3225" w:themeColor="accent3" w:themeShade="95"/>
        <w:insideH w:val="single" w:sz="4" w:space="0" w:color="4E3225" w:themeColor="accent3" w:themeShade="95"/>
        <w:insideV w:val="single" w:sz="4" w:space="0" w:color="4E322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A4C33" w:themeColor="accent4" w:themeShade="95"/>
        <w:left w:val="single" w:sz="4" w:space="0" w:color="5A4C33" w:themeColor="accent4" w:themeShade="95"/>
        <w:bottom w:val="single" w:sz="4" w:space="0" w:color="5A4C33" w:themeColor="accent4" w:themeShade="95"/>
        <w:right w:val="single" w:sz="4" w:space="0" w:color="5A4C33" w:themeColor="accent4" w:themeShade="95"/>
        <w:insideH w:val="single" w:sz="4" w:space="0" w:color="5A4C33" w:themeColor="accent4" w:themeShade="95"/>
        <w:insideV w:val="single" w:sz="4" w:space="0" w:color="5A4C33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E783D" w:themeColor="accent5" w:themeShade="95"/>
        <w:left w:val="single" w:sz="4" w:space="0" w:color="7E783D" w:themeColor="accent5" w:themeShade="95"/>
        <w:bottom w:val="single" w:sz="4" w:space="0" w:color="7E783D" w:themeColor="accent5" w:themeShade="95"/>
        <w:right w:val="single" w:sz="4" w:space="0" w:color="7E783D" w:themeColor="accent5" w:themeShade="95"/>
        <w:insideH w:val="single" w:sz="4" w:space="0" w:color="7E783D" w:themeColor="accent5" w:themeShade="95"/>
        <w:insideV w:val="single" w:sz="4" w:space="0" w:color="7E783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65F4C" w:themeColor="accent6" w:themeShade="95"/>
        <w:left w:val="single" w:sz="4" w:space="0" w:color="565F4C" w:themeColor="accent6" w:themeShade="95"/>
        <w:bottom w:val="single" w:sz="4" w:space="0" w:color="565F4C" w:themeColor="accent6" w:themeShade="95"/>
        <w:right w:val="single" w:sz="4" w:space="0" w:color="565F4C" w:themeColor="accent6" w:themeShade="95"/>
        <w:insideH w:val="single" w:sz="4" w:space="0" w:color="565F4C" w:themeColor="accent6" w:themeShade="95"/>
        <w:insideV w:val="single" w:sz="4" w:space="0" w:color="565F4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987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9581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9581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B49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D6B2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D6B2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FC6B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FC6B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link w:val="Bezmezer"/>
    <w:uiPriority w:val="1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0"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9616C4"/>
    <w:rPr>
      <w:b/>
      <w:caps/>
      <w:color w:val="AA610D" w:themeColor="accent1" w:themeShade="BF"/>
      <w:sz w:val="28"/>
      <w:szCs w:val="28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Podpodkapitola Char,adpis 3 Char,H3 Char,Nadpis_3_úroveň Char,ASAPHeading 3 Char,Sub Paragraph Char,1.1.1 Char"/>
    <w:basedOn w:val="Standardnpsmoodstavce"/>
    <w:link w:val="Nadpis3"/>
    <w:rsid w:val="009616C4"/>
    <w:rPr>
      <w:i/>
      <w:color w:val="AA610D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rPr>
      <w:i/>
      <w:iCs/>
      <w:smallCaps/>
      <w:color w:val="595959" w:themeColor="text1" w:themeTint="A6"/>
    </w:rPr>
  </w:style>
  <w:style w:type="paragraph" w:styleId="Titulek">
    <w:name w:val="caption"/>
    <w:aliases w:val="Table / Image Reference"/>
    <w:basedOn w:val="Normln"/>
    <w:next w:val="Normln"/>
    <w:link w:val="TitulekChar"/>
    <w:uiPriority w:val="99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99"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aliases w:val="List Paragraph (Czech Tourism),Odstavec cíl se seznamem,Odrážky 1,seznam písmena,Odstavec_muj,A-Odrážky1,Nad,_Odstavec se seznamem,Odstavec_muj1,Odstavec_muj2,Odstavec_muj3,Nad1,Odstavec_muj4,List Paragraph,Odstavec se seznamem5,lp1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numPr>
        <w:ilvl w:val="1"/>
      </w:num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character" w:customStyle="1" w:styleId="PodnadpisChar1">
    <w:name w:val="Podnadpis Char1"/>
    <w:basedOn w:val="Standardnpsmoodstavce"/>
    <w:link w:val="Podnadpis"/>
    <w:uiPriority w:val="99"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table" w:styleId="Mkatabulky">
    <w:name w:val="Table Grid"/>
    <w:aliases w:val="Table NoHeader"/>
    <w:basedOn w:val="Normlntabul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aliases w:val="List Paragraph (Czech Tourism) Char,Odstavec cíl se seznamem Char,Odrážky 1 Char,seznam písmena Char,Odstavec_muj Char,A-Odrážky1 Char,Nad Char,_Odstavec se seznamem Char,Odstavec_muj1 Char,Odstavec_muj2 Char,Odstavec_muj3 Char"/>
    <w:basedOn w:val="Standardnpsmoodstavce"/>
    <w:link w:val="Odstavecseseznamem"/>
    <w:uiPriority w:val="34"/>
    <w:qFormat/>
  </w:style>
  <w:style w:type="table" w:customStyle="1" w:styleId="Svtltabulkasmkou1zvraznn32">
    <w:name w:val="Světlá tabulka s mřížkou 1 – zvýraznění 3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rkazelen">
    <w:name w:val="Odrážka zelená"/>
    <w:basedOn w:val="Normln"/>
    <w:link w:val="OdrkazelenChar"/>
    <w:qFormat/>
    <w:rsid w:val="002573D5"/>
    <w:pPr>
      <w:widowControl w:val="0"/>
      <w:numPr>
        <w:numId w:val="2"/>
      </w:numPr>
      <w:spacing w:line="240" w:lineRule="auto"/>
    </w:pPr>
    <w:rPr>
      <w:rFonts w:eastAsia="Times New Roman" w:cs="Tahoma"/>
      <w:szCs w:val="20"/>
      <w:lang w:eastAsia="en-US"/>
    </w:rPr>
  </w:style>
  <w:style w:type="character" w:customStyle="1" w:styleId="OdrkazelenChar">
    <w:name w:val="Odrážka zelená Char"/>
    <w:basedOn w:val="Standardnpsmoodstavce"/>
    <w:link w:val="Odrkazelen"/>
    <w:rsid w:val="002573D5"/>
    <w:rPr>
      <w:rFonts w:eastAsia="Times New Roman" w:cs="Tahoma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pPr>
      <w:spacing w:before="0" w:after="120" w:line="240" w:lineRule="auto"/>
    </w:pPr>
    <w:rPr>
      <w:rFonts w:eastAsia="ms ??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pPr>
      <w:spacing w:before="0" w:after="120" w:line="240" w:lineRule="auto"/>
    </w:pPr>
    <w:rPr>
      <w:rFonts w:eastAsia="ms ??"/>
      <w:sz w:val="22"/>
      <w:szCs w:val="22"/>
    </w:rPr>
  </w:style>
  <w:style w:type="character" w:customStyle="1" w:styleId="datalabel">
    <w:name w:val="datalabel"/>
    <w:basedOn w:val="Standardnpsmoodstavce"/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Revize">
    <w:name w:val="Revision"/>
    <w:hidden/>
    <w:uiPriority w:val="99"/>
    <w:pPr>
      <w:spacing w:after="0" w:line="240" w:lineRule="auto"/>
    </w:pPr>
  </w:style>
  <w:style w:type="paragraph" w:customStyle="1" w:styleId="Nadpistabulky">
    <w:name w:val="Nadpis tabulky"/>
    <w:basedOn w:val="Normln"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pPr>
      <w:keepLines w:val="0"/>
      <w:numPr>
        <w:numId w:val="0"/>
      </w:numPr>
      <w:pBdr>
        <w:bottom w:val="none" w:sz="0" w:space="0" w:color="000000"/>
      </w:pBdr>
      <w:tabs>
        <w:tab w:val="left" w:pos="567"/>
      </w:tabs>
      <w:spacing w:before="0"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rPr>
      <w:sz w:val="4"/>
    </w:rPr>
  </w:style>
  <w:style w:type="paragraph" w:customStyle="1" w:styleId="Normln-tun10b">
    <w:name w:val="Normální - tučné 10 b."/>
    <w:basedOn w:val="Normln"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pPr>
      <w:numPr>
        <w:ilvl w:val="1"/>
        <w:numId w:val="6"/>
      </w:numPr>
      <w:tabs>
        <w:tab w:val="clear" w:pos="1134"/>
        <w:tab w:val="num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customStyle="1" w:styleId="Normlnnasted">
    <w:name w:val="Normální na střed"/>
    <w:basedOn w:val="Normln"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uiPriority w:val="99"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rPr>
      <w:rFonts w:cs="Times New Roman"/>
      <w:vertAlign w:val="superscript"/>
    </w:rPr>
  </w:style>
  <w:style w:type="paragraph" w:customStyle="1" w:styleId="brpodstavec">
    <w:name w:val="brpodstavec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character" w:customStyle="1" w:styleId="cizojazycne">
    <w:name w:val="cizojazycne"/>
    <w:basedOn w:val="Standardnpsmoodstavce"/>
    <w:rPr>
      <w:rFonts w:cs="Times New Roman"/>
    </w:rPr>
  </w:style>
  <w:style w:type="paragraph" w:customStyle="1" w:styleId="2">
    <w:name w:val="2"/>
    <w:basedOn w:val="Normln"/>
    <w:next w:val="Rozloendokumentu"/>
    <w:link w:val="RozvrendokumentuChar"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character" w:customStyle="1" w:styleId="ACNormlnChar">
    <w:name w:val="AC Normální Char"/>
    <w:basedOn w:val="Standardnpsmoodstavce"/>
    <w:link w:val="ACNormln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pPr>
      <w:spacing w:after="0" w:line="240" w:lineRule="auto"/>
    </w:pPr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character" w:customStyle="1" w:styleId="TahomaChar">
    <w:name w:val="Tahoma Char"/>
    <w:basedOn w:val="Standardnpsmoodstavce"/>
    <w:link w:val="Tahoma"/>
    <w:rPr>
      <w:rFonts w:ascii="Tahoma" w:eastAsia="Times New Roman" w:hAnsi="Tahoma" w:cs="Calibri"/>
      <w:sz w:val="20"/>
      <w:szCs w:val="22"/>
    </w:rPr>
  </w:style>
  <w:style w:type="paragraph" w:customStyle="1" w:styleId="Normlntun">
    <w:name w:val="Normálné tučné"/>
    <w:basedOn w:val="Normln"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character" w:styleId="CittHTML">
    <w:name w:val="HTML Cite"/>
    <w:basedOn w:val="Standardnpsmoodstavce"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rPr>
      <w:rFonts w:ascii="Calibri" w:eastAsia="Calibri" w:hAnsi="Calibri" w:cs="Times New Roman"/>
      <w:sz w:val="2"/>
      <w:szCs w:val="2"/>
      <w:shd w:val="clear" w:color="000080" w:fill="000080"/>
    </w:rPr>
  </w:style>
  <w:style w:type="paragraph" w:customStyle="1" w:styleId="Zkladntext1">
    <w:name w:val="Základní text1"/>
    <w:pPr>
      <w:spacing w:before="120" w:line="240" w:lineRule="auto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num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hidden/>
    <w:semiHidden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pPr>
      <w:tabs>
        <w:tab w:val="num" w:pos="1701"/>
      </w:tabs>
      <w:spacing w:before="60"/>
      <w:ind w:left="2268" w:hanging="567"/>
    </w:pPr>
  </w:style>
  <w:style w:type="character" w:styleId="slostrnky">
    <w:name w:val="page number"/>
    <w:basedOn w:val="Standardnpsmoodstavce"/>
    <w:uiPriority w:val="99"/>
    <w:rPr>
      <w:rFonts w:ascii="Arial" w:hAnsi="Arial" w:cs="Arial"/>
      <w:sz w:val="16"/>
      <w:szCs w:val="16"/>
    </w:rPr>
  </w:style>
  <w:style w:type="paragraph" w:customStyle="1" w:styleId="ACNadpis2">
    <w:name w:val="AC Nadpis 2"/>
    <w:basedOn w:val="Normln"/>
    <w:next w:val="ACNormln"/>
    <w:pPr>
      <w:keepNext/>
      <w:keepLines/>
      <w:widowControl w:val="0"/>
      <w:pBdr>
        <w:bottom w:val="single" w:sz="12" w:space="1" w:color="000000"/>
      </w:pBdr>
      <w:tabs>
        <w:tab w:val="num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character" w:customStyle="1" w:styleId="CharChar1">
    <w:name w:val="Char Char1"/>
    <w:basedOn w:val="Standardnpsmoodstavce"/>
    <w:rPr>
      <w:rFonts w:ascii="Tahoma" w:hAnsi="Tahoma" w:cs="Tahoma"/>
      <w:lang w:val="cs-CZ" w:eastAsia="cs-CZ"/>
    </w:rPr>
  </w:style>
  <w:style w:type="paragraph" w:styleId="Prosttext">
    <w:name w:val="Plain Text"/>
    <w:basedOn w:val="Normln"/>
    <w:link w:val="ProsttextChar"/>
    <w:uiPriority w:val="99"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pPr>
      <w:tabs>
        <w:tab w:val="num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pPr>
      <w:tabs>
        <w:tab w:val="num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pPr>
      <w:tabs>
        <w:tab w:val="num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pPr>
      <w:tabs>
        <w:tab w:val="num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pPr>
      <w:tabs>
        <w:tab w:val="num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pPr>
      <w:tabs>
        <w:tab w:val="num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pPr>
      <w:tabs>
        <w:tab w:val="num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pPr>
      <w:tabs>
        <w:tab w:val="num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rkamodrChar">
    <w:name w:val="Odrážka modrá Char"/>
    <w:basedOn w:val="Standardnpsmoodstavce"/>
    <w:link w:val="Odrkamodr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character" w:customStyle="1" w:styleId="OdsazenoChar">
    <w:name w:val="Odsazeno Char"/>
    <w:basedOn w:val="Standardnpsmoodstavce"/>
    <w:link w:val="Odsazeno"/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ypropoznmkupodarou">
    <w:name w:val="Znaky pro poznámku pod čarou"/>
    <w:basedOn w:val="Standardnpsmoodstavce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pPr>
      <w:tabs>
        <w:tab w:val="num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character" w:customStyle="1" w:styleId="TextpoznpodarouChar1">
    <w:name w:val="Text pozn. pod čarou Char1"/>
    <w:basedOn w:val="Standardnpsmoodstavce"/>
    <w:semiHidden/>
    <w:rPr>
      <w:rFonts w:ascii="Arial" w:hAnsi="Arial" w:cs="Arial"/>
      <w:sz w:val="16"/>
      <w:szCs w:val="16"/>
      <w:lang w:val="en-US"/>
    </w:rPr>
  </w:style>
  <w:style w:type="paragraph" w:customStyle="1" w:styleId="Normln-poznmkapodarou">
    <w:name w:val="Normální - poznámka pod čarou"/>
    <w:basedOn w:val="Normln"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PodnadpisChar">
    <w:name w:val="Podnadpis Char"/>
    <w:basedOn w:val="Standardnpsmoodstavce"/>
    <w:link w:val="Podnadpis1"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rPr>
      <w:rFonts w:ascii="Arial Narrow" w:hAnsi="Arial Narrow" w:cs="Arial Narrow"/>
      <w:sz w:val="20"/>
      <w:szCs w:val="20"/>
      <w:lang w:eastAsia="cs-CZ"/>
    </w:rPr>
  </w:style>
  <w:style w:type="paragraph" w:customStyle="1" w:styleId="OdrkaEQerven">
    <w:name w:val="Odrážka EQ červená"/>
    <w:basedOn w:val="Normln"/>
    <w:link w:val="OdrkaEQervenChar"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OdrkaEQervenChar">
    <w:name w:val="Odrážka EQ červená Char"/>
    <w:basedOn w:val="Standardnpsmoodstavce"/>
    <w:link w:val="OdrkaEQerven"/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pPr>
      <w:numPr>
        <w:numId w:val="8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pPr>
      <w:tabs>
        <w:tab w:val="num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pPr>
      <w:tabs>
        <w:tab w:val="num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3">
    <w:name w:val="List 3"/>
    <w:basedOn w:val="Normln"/>
    <w:uiPriority w:val="99"/>
    <w:pPr>
      <w:numPr>
        <w:numId w:val="9"/>
      </w:numPr>
      <w:tabs>
        <w:tab w:val="left" w:pos="1701"/>
      </w:tabs>
      <w:spacing w:before="12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NormlntunChar">
    <w:name w:val="Normální tučný Char"/>
    <w:basedOn w:val="Standardnpsmoodstavce"/>
    <w:link w:val="Normlntun0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numbering" w:customStyle="1" w:styleId="Styl2">
    <w:name w:val="Styl2"/>
    <w:pPr>
      <w:numPr>
        <w:numId w:val="7"/>
      </w:numPr>
    </w:pPr>
  </w:style>
  <w:style w:type="table" w:customStyle="1" w:styleId="Styl1">
    <w:name w:val="Styl1"/>
    <w:basedOn w:val="Normlntabulka"/>
    <w:uiPriority w:val="99"/>
    <w:pPr>
      <w:spacing w:after="0" w:line="240" w:lineRule="auto"/>
    </w:pPr>
    <w:rPr>
      <w:rFonts w:cs="Times New Roman"/>
      <w:sz w:val="20"/>
      <w:szCs w:val="20"/>
    </w:rPr>
    <w:tblPr/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rFonts w:ascii="Calibri" w:hAnsi="Calibri"/>
      </w:rPr>
    </w:tblStylePr>
  </w:style>
  <w:style w:type="table" w:customStyle="1" w:styleId="GSEtab">
    <w:name w:val="GSE tab"/>
    <w:basedOn w:val="Normlntabulka"/>
    <w:uiPriority w:val="99"/>
    <w:pPr>
      <w:spacing w:after="0" w:line="240" w:lineRule="auto"/>
      <w:jc w:val="center"/>
    </w:pPr>
    <w:rPr>
      <w:rFonts w:cs="Times New Roman"/>
      <w:sz w:val="20"/>
      <w:szCs w:val="20"/>
    </w:rPr>
    <w:tblPr>
      <w:tblStyleRowBandSize w:val="1"/>
      <w:jc w:val="center"/>
      <w:tblBorders>
        <w:top w:val="single" w:sz="8" w:space="0" w:color="644030" w:themeColor="accent3" w:themeShade="BF"/>
        <w:left w:val="single" w:sz="8" w:space="0" w:color="644030" w:themeColor="accent3" w:themeShade="BF"/>
        <w:bottom w:val="single" w:sz="8" w:space="0" w:color="644030" w:themeColor="accent3" w:themeShade="BF"/>
        <w:right w:val="single" w:sz="8" w:space="0" w:color="644030" w:themeColor="accent3" w:themeShade="BF"/>
        <w:insideH w:val="single" w:sz="8" w:space="0" w:color="644030" w:themeColor="accent3" w:themeShade="BF"/>
        <w:insideV w:val="single" w:sz="8" w:space="0" w:color="644030" w:themeColor="accent3" w:themeShade="BF"/>
      </w:tblBorders>
    </w:tblPr>
    <w:trPr>
      <w:jc w:val="center"/>
    </w:tr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eznamsodrkami2">
    <w:name w:val="List Bullet 2"/>
    <w:basedOn w:val="Normln"/>
    <w:uiPriority w:val="99"/>
    <w:pPr>
      <w:numPr>
        <w:numId w:val="10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pPr>
      <w:numPr>
        <w:numId w:val="11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controllabel">
    <w:name w:val="control_label"/>
    <w:basedOn w:val="Standardnpsmoodstavce"/>
  </w:style>
  <w:style w:type="paragraph" w:customStyle="1" w:styleId="xl77">
    <w:name w:val="xl77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customStyle="1" w:styleId="Tabulkasmkou4zvraznn32">
    <w:name w:val="Tabulka s mřížkou 4 – zvýraznění 32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xl85">
    <w:name w:val="xl8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wrap">
    <w:name w:val="nowrap"/>
    <w:basedOn w:val="Standardnpsmoodstavce"/>
  </w:style>
  <w:style w:type="table" w:customStyle="1" w:styleId="Svtltabulkasmkou1zvraznn12">
    <w:name w:val="Světlá tabulka s mřížkou 1 – zvýraznění 12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framecaption">
    <w:name w:val="listframe_caption"/>
    <w:basedOn w:val="Standardnpsmoodstavc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uiPriority w:val="99"/>
    <w:rPr>
      <w:rFonts w:cs="Times New Roman"/>
      <w:b/>
      <w:bCs/>
      <w:color w:val="auto"/>
    </w:rPr>
  </w:style>
  <w:style w:type="paragraph" w:customStyle="1" w:styleId="Heading21">
    <w:name w:val="Heading 2.1"/>
    <w:basedOn w:val="Nadpis2"/>
    <w:uiPriority w:val="99"/>
    <w:pPr>
      <w:keepLines w:val="0"/>
      <w:numPr>
        <w:numId w:val="12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/>
      <w:color w:val="000000"/>
      <w:sz w:val="23"/>
      <w:szCs w:val="24"/>
    </w:rPr>
  </w:style>
  <w:style w:type="paragraph" w:customStyle="1" w:styleId="abc">
    <w:name w:val="abc"/>
    <w:basedOn w:val="Normln"/>
    <w:link w:val="abcChar"/>
    <w:rPr>
      <w:rFonts w:eastAsia="Times New Roman" w:cs="Times New Roman"/>
      <w:sz w:val="22"/>
      <w:szCs w:val="24"/>
    </w:rPr>
  </w:style>
  <w:style w:type="character" w:customStyle="1" w:styleId="abcChar">
    <w:name w:val="abc Char"/>
    <w:link w:val="abc"/>
    <w:rPr>
      <w:rFonts w:ascii="Calibri" w:eastAsia="Times New Roman" w:hAnsi="Calibri" w:cs="Times New Roman"/>
      <w:sz w:val="22"/>
      <w:szCs w:val="24"/>
    </w:rPr>
  </w:style>
  <w:style w:type="paragraph" w:customStyle="1" w:styleId="nadpis1">
    <w:name w:val="nadpis 1"/>
    <w:basedOn w:val="Nzev"/>
    <w:uiPriority w:val="99"/>
    <w:pPr>
      <w:numPr>
        <w:numId w:val="13"/>
      </w:numPr>
      <w:pBdr>
        <w:bottom w:val="single" w:sz="8" w:space="4" w:color="4F81BD"/>
      </w:pBdr>
      <w:tabs>
        <w:tab w:val="clear" w:pos="432"/>
      </w:tabs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pPr>
      <w:tabs>
        <w:tab w:val="num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pPr>
      <w:tabs>
        <w:tab w:val="num" w:pos="720"/>
        <w:tab w:val="num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  <w:jc w:val="left"/>
    </w:pPr>
    <w:rPr>
      <w:rFonts w:eastAsia="Times New Roman" w:cs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aliases w:val="Table / Image Reference Char"/>
    <w:link w:val="Titulek"/>
    <w:uiPriority w:val="35"/>
    <w:rPr>
      <w:b/>
      <w:bCs/>
      <w:color w:val="404040" w:themeColor="text1" w:themeTint="BF"/>
      <w:sz w:val="20"/>
      <w:szCs w:val="20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character" w:customStyle="1" w:styleId="CitaceChar">
    <w:name w:val="Citace Char"/>
    <w:link w:val="Citace1"/>
    <w:uiPriority w:val="29"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uiPriority w:val="99"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pPr>
      <w:spacing w:before="120" w:after="240" w:line="240" w:lineRule="auto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pPr>
      <w:numPr>
        <w:numId w:val="14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pPr>
      <w:numPr>
        <w:numId w:val="15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</w:style>
  <w:style w:type="paragraph" w:styleId="Zkladntext2">
    <w:name w:val="Body Text 2"/>
    <w:basedOn w:val="Normln"/>
    <w:link w:val="Zkladntext2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pPr>
      <w:tabs>
        <w:tab w:val="left" w:pos="2268"/>
      </w:tabs>
      <w:spacing w:before="0" w:line="240" w:lineRule="auto"/>
      <w:ind w:firstLine="210"/>
      <w:jc w:val="both"/>
    </w:pPr>
    <w:rPr>
      <w:rFonts w:cs="Tahoma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pPr>
      <w:framePr w:w="7920" w:h="1980" w:hRule="exact" w:hSpace="180" w:wrap="auto" w:hAnchor="page" w:xAlign="center" w:yAlign="bottom"/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Seznam2">
    <w:name w:val="List 2"/>
    <w:basedOn w:val="Normln"/>
    <w:uiPriority w:val="99"/>
    <w:pPr>
      <w:tabs>
        <w:tab w:val="left" w:pos="2268"/>
      </w:tabs>
      <w:spacing w:before="0" w:line="240" w:lineRule="auto"/>
      <w:ind w:left="566" w:hanging="283"/>
    </w:pPr>
    <w:rPr>
      <w:rFonts w:eastAsia="Times New Roman" w:cs="Tahoma"/>
      <w:sz w:val="22"/>
      <w:szCs w:val="20"/>
      <w:lang w:eastAsia="en-US"/>
    </w:rPr>
  </w:style>
  <w:style w:type="paragraph" w:styleId="Seznam4">
    <w:name w:val="List 4"/>
    <w:basedOn w:val="Normln"/>
    <w:uiPriority w:val="99"/>
    <w:pPr>
      <w:tabs>
        <w:tab w:val="left" w:pos="2268"/>
      </w:tabs>
      <w:spacing w:before="0" w:line="240" w:lineRule="auto"/>
      <w:ind w:left="1132" w:hanging="283"/>
    </w:pPr>
    <w:rPr>
      <w:rFonts w:eastAsia="Times New Roman" w:cs="Tahoma"/>
      <w:sz w:val="22"/>
      <w:szCs w:val="20"/>
      <w:lang w:eastAsia="en-US"/>
    </w:rPr>
  </w:style>
  <w:style w:type="paragraph" w:styleId="Seznam5">
    <w:name w:val="List 5"/>
    <w:basedOn w:val="Normln"/>
    <w:uiPriority w:val="99"/>
    <w:pPr>
      <w:tabs>
        <w:tab w:val="left" w:pos="2268"/>
      </w:tabs>
      <w:spacing w:before="0" w:line="240" w:lineRule="auto"/>
      <w:ind w:left="1415" w:hanging="283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4">
    <w:name w:val="List Bullet 4"/>
    <w:basedOn w:val="Normln"/>
    <w:uiPriority w:val="99"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pPr>
      <w:numPr>
        <w:numId w:val="19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pPr>
      <w:tabs>
        <w:tab w:val="num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pPr>
      <w:numPr>
        <w:numId w:val="22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WW8Num6z1">
    <w:name w:val="WW8Num6z1"/>
    <w:uiPriority w:val="99"/>
    <w:rPr>
      <w:rFonts w:ascii="Tahoma" w:hAnsi="Tahoma"/>
    </w:rPr>
  </w:style>
  <w:style w:type="table" w:styleId="Webovtabulka1">
    <w:name w:val="Table Web 1"/>
    <w:basedOn w:val="Normlntabulka"/>
    <w:uiPriority w:val="99"/>
    <w:pPr>
      <w:tabs>
        <w:tab w:val="left" w:pos="2268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paragraph" w:customStyle="1" w:styleId="Fixedtext">
    <w:name w:val="Fixed_text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</w:style>
  <w:style w:type="paragraph" w:customStyle="1" w:styleId="PARNormalodsazeneitalic">
    <w:name w:val="PAR_Normal_odsazene_italic"/>
    <w:link w:val="PARNormalodsazeneitalic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pPr>
      <w:tabs>
        <w:tab w:val="left" w:pos="1985"/>
        <w:tab w:val="left" w:pos="5103"/>
        <w:tab w:val="right" w:pos="9639"/>
      </w:tabs>
      <w:spacing w:before="60" w:after="60" w:line="240" w:lineRule="auto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pPr>
      <w:spacing w:before="360" w:after="240" w:line="240" w:lineRule="auto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character" w:customStyle="1" w:styleId="CHARbold-italic">
    <w:name w:val="CHAR_bold-italic"/>
    <w:uiPriority w:val="9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pPr>
      <w:tabs>
        <w:tab w:val="right" w:pos="9639"/>
      </w:tabs>
      <w:spacing w:before="60" w:line="240" w:lineRule="auto"/>
    </w:pPr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</w:style>
  <w:style w:type="paragraph" w:customStyle="1" w:styleId="StyleHeading1After6pt">
    <w:name w:val="Style Heading 1 + After:  6 pt"/>
    <w:basedOn w:val="Nadpis10"/>
    <w:uiPriority w:val="99"/>
    <w:pPr>
      <w:keepLines w:val="0"/>
      <w:numPr>
        <w:numId w:val="0"/>
      </w:numPr>
      <w:pBdr>
        <w:bottom w:val="none" w:sz="0" w:space="0" w:color="000000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pPr>
      <w:ind w:left="1980" w:hanging="1980"/>
      <w:jc w:val="both"/>
    </w:pPr>
    <w:rPr>
      <w:rFonts w:ascii="Tahoma" w:hAnsi="Tahoma"/>
      <w:sz w:val="20"/>
    </w:r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Odstavecseseznamem2">
    <w:name w:val="Odstavec se seznamem2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pPr>
      <w:numPr>
        <w:numId w:val="24"/>
      </w:numPr>
      <w:spacing w:before="240" w:after="240" w:line="240" w:lineRule="auto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pPr>
      <w:numPr>
        <w:numId w:val="25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pPr>
      <w:spacing w:after="60" w:line="240" w:lineRule="auto"/>
      <w:jc w:val="both"/>
    </w:pPr>
    <w:rPr>
      <w:rFonts w:ascii="Arial" w:eastAsia="Times New Roman" w:hAnsi="Arial" w:cs="Times New Roman"/>
      <w:sz w:val="22"/>
      <w:szCs w:val="22"/>
    </w:rPr>
  </w:style>
  <w:style w:type="character" w:customStyle="1" w:styleId="FSCNormalChar">
    <w:name w:val="FSCNormal Char"/>
    <w:link w:val="FSCNormal"/>
    <w:uiPriority w:val="99"/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pPr>
      <w:numPr>
        <w:numId w:val="21"/>
      </w:numPr>
      <w:tabs>
        <w:tab w:val="num" w:pos="870"/>
      </w:tabs>
      <w:spacing w:before="480" w:after="60" w:line="276" w:lineRule="auto"/>
      <w:ind w:left="870"/>
    </w:pPr>
    <w:rPr>
      <w:rFonts w:ascii="Cambria" w:eastAsia="Times New Roman" w:hAnsi="Cambria" w:cs="Times New Roman"/>
      <w:b/>
      <w:i w:val="0"/>
      <w:color w:val="auto"/>
      <w:sz w:val="24"/>
    </w:rPr>
  </w:style>
  <w:style w:type="paragraph" w:customStyle="1" w:styleId="SUBNADPIS">
    <w:name w:val="SUBNADPIS"/>
    <w:basedOn w:val="Normln"/>
    <w:uiPriority w:val="99"/>
    <w:pPr>
      <w:numPr>
        <w:numId w:val="26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pPr>
      <w:numPr>
        <w:numId w:val="27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pPr>
      <w:numPr>
        <w:numId w:val="28"/>
      </w:numPr>
      <w:spacing w:after="0"/>
    </w:pPr>
    <w:rPr>
      <w:rFonts w:ascii="Arial" w:eastAsia="Times New Roman" w:hAnsi="Arial" w:cs="Times New Roman"/>
      <w:sz w:val="20"/>
      <w:szCs w:val="24"/>
    </w:rPr>
  </w:style>
  <w:style w:type="character" w:customStyle="1" w:styleId="normsodrazkouChar">
    <w:name w:val="norm s odrazkou Char"/>
    <w:link w:val="normsodrazkou"/>
    <w:uiPriority w:val="99"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character" w:customStyle="1" w:styleId="BookTitle1">
    <w:name w:val="Book Title1"/>
    <w:uiPriority w:val="99"/>
    <w:rPr>
      <w:b/>
      <w:smallCaps/>
      <w:spacing w:val="5"/>
    </w:rPr>
  </w:style>
  <w:style w:type="paragraph" w:customStyle="1" w:styleId="Normln-msk">
    <w:name w:val="Normální - Římská"/>
    <w:basedOn w:val="Normln"/>
    <w:uiPriority w:val="99"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pPr>
      <w:spacing w:after="0" w:line="240" w:lineRule="auto"/>
    </w:pPr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character" w:customStyle="1" w:styleId="IntenseEmphasis1">
    <w:name w:val="Intense Emphasis1"/>
    <w:uiPriority w:val="9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pPr>
      <w:numPr>
        <w:numId w:val="29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pPr>
      <w:tabs>
        <w:tab w:val="num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pPr>
      <w:tabs>
        <w:tab w:val="num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pPr>
      <w:tabs>
        <w:tab w:val="num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3">
    <w:name w:val="A3"/>
    <w:uiPriority w:val="99"/>
    <w:rPr>
      <w:b/>
      <w:color w:val="000000"/>
    </w:rPr>
  </w:style>
  <w:style w:type="character" w:customStyle="1" w:styleId="A5">
    <w:name w:val="A5"/>
    <w:uiPriority w:val="9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oogqs-tidbit1">
    <w:name w:val="goog_qs-tidbit1"/>
    <w:uiPriority w:val="99"/>
  </w:style>
  <w:style w:type="character" w:customStyle="1" w:styleId="st1">
    <w:name w:val="st1"/>
  </w:style>
  <w:style w:type="character" w:customStyle="1" w:styleId="ft">
    <w:name w:val="ft"/>
    <w:uiPriority w:val="99"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character" w:customStyle="1" w:styleId="odstavecChar">
    <w:name w:val="odstavec Char"/>
    <w:link w:val="odstavec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widowControl w:val="0"/>
      <w:spacing w:after="223"/>
    </w:pPr>
    <w:rPr>
      <w:rFonts w:cs="Times New Roman"/>
      <w:color w:val="auto"/>
    </w:rPr>
  </w:style>
  <w:style w:type="table" w:customStyle="1" w:styleId="Svtltabulkasmkou11">
    <w:name w:val="Světlá tabulka s mřížkou 1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30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character" w:customStyle="1" w:styleId="bodspecifikaceChar">
    <w:name w:val="bod specifikace Char"/>
    <w:link w:val="bodspecifikace"/>
    <w:uiPriority w:val="99"/>
    <w:rPr>
      <w:rFonts w:eastAsia="Times New Roman" w:cs="Times New Roman"/>
      <w:b/>
    </w:r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Odstavec1-nabdkaChar">
    <w:name w:val="Odstavec 1 - nabídka Char"/>
    <w:link w:val="Odstavec1-nabdka"/>
    <w:uiPriority w:val="99"/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1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character" w:customStyle="1" w:styleId="OzahlvinazevspolChar">
    <w:name w:val="O_zahlvi_nazev_spol Char"/>
    <w:basedOn w:val="Standardnpsmoodstavce"/>
    <w:link w:val="Ozahlvinazevspol"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808080"/>
      <w:shd w:val="clear" w:color="E6E6E6" w:fill="E6E6E6"/>
    </w:rPr>
  </w:style>
  <w:style w:type="character" w:customStyle="1" w:styleId="Odrka2doplohyChar">
    <w:name w:val="Odrážka 2 do přílohy Char"/>
    <w:link w:val="Odrka2doplohy"/>
    <w:uiPriority w:val="99"/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2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rPr>
      <w:rFonts w:eastAsia="Times New Roman" w:cs="Times New Roman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808080"/>
      <w:shd w:val="clear" w:color="E6E6E6" w:fill="E6E6E6"/>
    </w:rPr>
  </w:style>
  <w:style w:type="paragraph" w:customStyle="1" w:styleId="Tlotextu">
    <w:name w:val="Tělo textu"/>
    <w:basedOn w:val="Normln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E1DFDD" w:fill="E1DFDD"/>
    </w:rPr>
  </w:style>
  <w:style w:type="character" w:customStyle="1" w:styleId="wffiletext">
    <w:name w:val="wf_file_text"/>
    <w:basedOn w:val="Standardnpsmoodstavce"/>
  </w:style>
  <w:style w:type="table" w:customStyle="1" w:styleId="Svtltabulkasmkou1zvraznn13">
    <w:name w:val="Světlá tabulka s mřížkou 1 – zvýraznění 13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65">
    <w:name w:val="xl65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110">
    <w:name w:val="xl110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</w:rPr>
  </w:style>
  <w:style w:type="paragraph" w:customStyle="1" w:styleId="xl111">
    <w:name w:val="xl111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FF0000"/>
    </w:rPr>
  </w:style>
  <w:style w:type="paragraph" w:customStyle="1" w:styleId="xl112">
    <w:name w:val="xl112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113">
    <w:name w:val="xl113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63">
    <w:name w:val="xl63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64">
    <w:name w:val="xl64"/>
    <w:basedOn w:val="Normln"/>
    <w:pPr>
      <w:spacing w:before="100" w:beforeAutospacing="1" w:after="100" w:afterAutospacing="1" w:line="240" w:lineRule="auto"/>
      <w:jc w:val="left"/>
    </w:pPr>
    <w:rPr>
      <w:rFonts w:eastAsia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976531"/>
    <w:rPr>
      <w:color w:val="605E5C"/>
      <w:shd w:val="clear" w:color="auto" w:fill="E1DFDD"/>
    </w:rPr>
  </w:style>
  <w:style w:type="character" w:customStyle="1" w:styleId="hgkelc">
    <w:name w:val="hgkelc"/>
    <w:basedOn w:val="Standardnpsmoodstavce"/>
    <w:rsid w:val="008835ED"/>
  </w:style>
  <w:style w:type="table" w:customStyle="1" w:styleId="Mkatabulky2">
    <w:name w:val="Mřížka tabulky2"/>
    <w:basedOn w:val="Normlntabulka"/>
    <w:next w:val="Mkatabulky"/>
    <w:uiPriority w:val="39"/>
    <w:rsid w:val="00B71536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Odstavec">
    <w:name w:val="AC Odstavec"/>
    <w:basedOn w:val="Normln"/>
    <w:rsid w:val="009E3C4F"/>
    <w:pPr>
      <w:suppressAutoHyphens/>
      <w:spacing w:before="240" w:after="120" w:line="240" w:lineRule="auto"/>
    </w:pPr>
    <w:rPr>
      <w:rFonts w:eastAsiaTheme="minorEastAsia" w:cstheme="minorBid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E3692-325D-4D9C-80CE-A417462AD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1326</Words>
  <Characters>7561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Technická specif</vt:lpstr>
      <vt:lpstr>Specifikace minimálních požadavků technického řešení</vt:lpstr>
      <vt:lpstr>    Předmětem této aktivity Části 1 veřejné zakázky je dodávka a implementace zaříze</vt:lpstr>
      <vt:lpstr>    UPS – 2ks</vt:lpstr>
    </vt:vector>
  </TitlesOfParts>
  <Company/>
  <LinksUpToDate>false</LinksUpToDate>
  <CharactersWithSpaces>8870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Žibřidová</dc:creator>
  <cp:keywords/>
  <dc:description/>
  <cp:lastModifiedBy>Ondřej Liška</cp:lastModifiedBy>
  <cp:revision>15</cp:revision>
  <dcterms:created xsi:type="dcterms:W3CDTF">2025-05-05T12:20:00Z</dcterms:created>
  <dcterms:modified xsi:type="dcterms:W3CDTF">2025-05-28T11:14:00Z</dcterms:modified>
  <cp:contentStatus/>
</cp:coreProperties>
</file>